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56" w:rsidRDefault="002C748F" w:rsidP="002C748F">
      <w:pPr>
        <w:autoSpaceDE w:val="0"/>
        <w:autoSpaceDN w:val="0"/>
        <w:adjustRightInd w:val="0"/>
        <w:spacing w:line="240" w:lineRule="auto"/>
        <w:jc w:val="right"/>
        <w:rPr>
          <w:rFonts w:cs="Arial"/>
          <w:bCs/>
          <w:color w:val="000000"/>
          <w:sz w:val="22"/>
          <w:szCs w:val="22"/>
        </w:rPr>
      </w:pPr>
      <w:r>
        <w:rPr>
          <w:rFonts w:cs="Arial"/>
          <w:bCs/>
          <w:color w:val="000000"/>
          <w:sz w:val="22"/>
          <w:szCs w:val="22"/>
        </w:rPr>
        <w:t>27. Juli 2021</w:t>
      </w:r>
    </w:p>
    <w:p w:rsidR="002C748F" w:rsidRPr="002C748F" w:rsidRDefault="002C748F" w:rsidP="00AD44F9">
      <w:pPr>
        <w:autoSpaceDE w:val="0"/>
        <w:autoSpaceDN w:val="0"/>
        <w:adjustRightInd w:val="0"/>
        <w:spacing w:line="240" w:lineRule="auto"/>
        <w:jc w:val="center"/>
        <w:rPr>
          <w:rFonts w:cs="Arial"/>
          <w:bCs/>
          <w:color w:val="000000"/>
          <w:sz w:val="22"/>
          <w:szCs w:val="22"/>
        </w:rPr>
      </w:pPr>
    </w:p>
    <w:p w:rsidR="00862256" w:rsidRPr="00B86453" w:rsidRDefault="00862256" w:rsidP="00441997">
      <w:pPr>
        <w:spacing w:after="120"/>
        <w:jc w:val="center"/>
        <w:rPr>
          <w:b/>
          <w:sz w:val="36"/>
          <w:szCs w:val="36"/>
        </w:rPr>
      </w:pPr>
      <w:r w:rsidRPr="00862256">
        <w:rPr>
          <w:rFonts w:cs="Arial"/>
          <w:szCs w:val="24"/>
        </w:rPr>
        <w:t xml:space="preserve"> </w:t>
      </w:r>
      <w:r w:rsidRPr="00B86453">
        <w:rPr>
          <w:b/>
          <w:sz w:val="36"/>
          <w:szCs w:val="36"/>
        </w:rPr>
        <w:t>Schriftliche Kleine Anfrage</w:t>
      </w:r>
    </w:p>
    <w:p w:rsidR="000527B5" w:rsidRPr="000527B5" w:rsidRDefault="000527B5" w:rsidP="000527B5">
      <w:pPr>
        <w:autoSpaceDE w:val="0"/>
        <w:autoSpaceDN w:val="0"/>
        <w:adjustRightInd w:val="0"/>
        <w:spacing w:before="240" w:line="240" w:lineRule="auto"/>
        <w:jc w:val="center"/>
        <w:rPr>
          <w:b/>
          <w:sz w:val="20"/>
        </w:rPr>
      </w:pPr>
      <w:r w:rsidRPr="000527B5">
        <w:rPr>
          <w:b/>
          <w:sz w:val="20"/>
        </w:rPr>
        <w:t>des Abgeordneten Sandro Kappe (CDU) vom 19.07.21</w:t>
      </w:r>
    </w:p>
    <w:p w:rsidR="00AD44F9" w:rsidRDefault="00862256" w:rsidP="00441997">
      <w:pPr>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B70A25">
        <w:rPr>
          <w:b/>
          <w:sz w:val="28"/>
          <w:szCs w:val="28"/>
        </w:rPr>
        <w:t>5236</w:t>
      </w:r>
      <w:r>
        <w:rPr>
          <w:b/>
          <w:sz w:val="28"/>
          <w:szCs w:val="28"/>
        </w:rPr>
        <w:t xml:space="preserve"> -</w:t>
      </w:r>
    </w:p>
    <w:p w:rsidR="00AD44F9" w:rsidRDefault="00AD44F9" w:rsidP="007C3747">
      <w:pPr>
        <w:spacing w:line="240" w:lineRule="auto"/>
        <w:rPr>
          <w:sz w:val="22"/>
          <w:szCs w:val="22"/>
        </w:rPr>
      </w:pPr>
    </w:p>
    <w:p w:rsidR="009E56B6" w:rsidRDefault="003E2E94" w:rsidP="000527B5">
      <w:pPr>
        <w:pStyle w:val="Titel-Betreff"/>
        <w:tabs>
          <w:tab w:val="clear" w:pos="794"/>
        </w:tabs>
        <w:jc w:val="both"/>
        <w:rPr>
          <w:rFonts w:cs="Arial"/>
        </w:rPr>
      </w:pPr>
      <w:r w:rsidRPr="00296607">
        <w:t>Betr.:</w:t>
      </w:r>
      <w:r w:rsidRPr="00296607">
        <w:tab/>
      </w:r>
      <w:r w:rsidR="000527B5" w:rsidRPr="000527B5">
        <w:t>Straßenbaumjahresbilanz 2020</w:t>
      </w:r>
    </w:p>
    <w:p w:rsidR="009E56B6" w:rsidRPr="00F3586E" w:rsidRDefault="009E56B6" w:rsidP="00F3586E">
      <w:pPr>
        <w:autoSpaceDE w:val="0"/>
        <w:autoSpaceDN w:val="0"/>
        <w:adjustRightInd w:val="0"/>
        <w:spacing w:line="240" w:lineRule="auto"/>
        <w:ind w:left="426"/>
        <w:rPr>
          <w:rFonts w:cs="Arial"/>
          <w:b/>
          <w:i/>
          <w:sz w:val="20"/>
        </w:rPr>
      </w:pPr>
      <w:r w:rsidRPr="00F3586E">
        <w:rPr>
          <w:rFonts w:cs="Arial"/>
          <w:b/>
          <w:i/>
          <w:sz w:val="20"/>
        </w:rPr>
        <w:t>Einleitung für die Fragen:</w:t>
      </w:r>
    </w:p>
    <w:p w:rsidR="009E56B6" w:rsidRDefault="009E56B6" w:rsidP="009E56B6">
      <w:pPr>
        <w:autoSpaceDE w:val="0"/>
        <w:autoSpaceDN w:val="0"/>
        <w:adjustRightInd w:val="0"/>
        <w:spacing w:line="240" w:lineRule="auto"/>
        <w:ind w:left="364"/>
        <w:rPr>
          <w:rFonts w:cs="Arial"/>
          <w:i/>
          <w:sz w:val="20"/>
        </w:rPr>
      </w:pPr>
    </w:p>
    <w:p w:rsidR="000527B5" w:rsidRPr="000527B5" w:rsidRDefault="000527B5" w:rsidP="00F3586E">
      <w:pPr>
        <w:autoSpaceDE w:val="0"/>
        <w:autoSpaceDN w:val="0"/>
        <w:adjustRightInd w:val="0"/>
        <w:spacing w:line="240" w:lineRule="auto"/>
        <w:ind w:left="426"/>
        <w:rPr>
          <w:rFonts w:eastAsia="Arial"/>
          <w:i/>
          <w:sz w:val="20"/>
          <w:lang w:eastAsia="en-US"/>
        </w:rPr>
      </w:pPr>
      <w:r w:rsidRPr="000527B5">
        <w:rPr>
          <w:rFonts w:eastAsia="Arial"/>
          <w:i/>
          <w:sz w:val="20"/>
          <w:lang w:eastAsia="en-US"/>
        </w:rPr>
        <w:t xml:space="preserve">Mit Drs. 22/4827 teilt der Senat mit, dass die Zahlen der Straßenbaumjahresbilanz 2020 bis zum Ende des 2. Quartals ermittelt sein werden. Somit sollten die Zahlen nun endlich vorliegen. </w:t>
      </w:r>
    </w:p>
    <w:p w:rsidR="000527B5" w:rsidRDefault="000527B5" w:rsidP="00F3586E">
      <w:pPr>
        <w:autoSpaceDE w:val="0"/>
        <w:autoSpaceDN w:val="0"/>
        <w:adjustRightInd w:val="0"/>
        <w:spacing w:line="240" w:lineRule="auto"/>
        <w:ind w:left="426"/>
        <w:rPr>
          <w:rFonts w:eastAsia="Arial"/>
          <w:i/>
          <w:sz w:val="20"/>
          <w:lang w:eastAsia="en-US"/>
        </w:rPr>
      </w:pPr>
    </w:p>
    <w:p w:rsidR="000527B5" w:rsidRPr="000527B5" w:rsidRDefault="000527B5" w:rsidP="00F3586E">
      <w:pPr>
        <w:autoSpaceDE w:val="0"/>
        <w:autoSpaceDN w:val="0"/>
        <w:adjustRightInd w:val="0"/>
        <w:spacing w:line="240" w:lineRule="auto"/>
        <w:ind w:left="426"/>
        <w:rPr>
          <w:rFonts w:eastAsia="Arial"/>
          <w:i/>
          <w:sz w:val="20"/>
          <w:lang w:eastAsia="en-US"/>
        </w:rPr>
      </w:pPr>
      <w:r w:rsidRPr="000527B5">
        <w:rPr>
          <w:rFonts w:eastAsia="Arial"/>
          <w:i/>
          <w:sz w:val="20"/>
          <w:lang w:eastAsia="en-US"/>
        </w:rPr>
        <w:t>Vor diesem Hintergrund frage ich den Senat:</w:t>
      </w:r>
      <w:bookmarkStart w:id="0" w:name="_GoBack"/>
      <w:bookmarkEnd w:id="0"/>
    </w:p>
    <w:p w:rsidR="000527B5" w:rsidRDefault="000527B5" w:rsidP="00F3586E">
      <w:pPr>
        <w:pStyle w:val="Frage-Nummerierung1"/>
        <w:ind w:left="1418" w:hanging="851"/>
      </w:pPr>
      <w:r w:rsidRPr="000527B5">
        <w:t>Wie viele Straßenbäume wurden unterteilt nach den Bezirken im Jahr 2020 gefällt?</w:t>
      </w:r>
    </w:p>
    <w:p w:rsidR="00B93878" w:rsidRDefault="00B93878" w:rsidP="00B93878">
      <w:pPr>
        <w:pStyle w:val="Frage-Nummerierung1"/>
        <w:numPr>
          <w:ilvl w:val="0"/>
          <w:numId w:val="0"/>
        </w:numPr>
        <w:ind w:left="1418"/>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89"/>
        <w:gridCol w:w="1150"/>
        <w:gridCol w:w="1571"/>
        <w:gridCol w:w="1161"/>
        <w:gridCol w:w="1122"/>
        <w:gridCol w:w="976"/>
      </w:tblGrid>
      <w:tr w:rsidR="00B93878" w:rsidRPr="00D214A6" w:rsidTr="00D214A6">
        <w:trPr>
          <w:jc w:val="center"/>
        </w:trPr>
        <w:tc>
          <w:tcPr>
            <w:tcW w:w="1570"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Hamburg-Mitte</w:t>
            </w:r>
          </w:p>
        </w:tc>
        <w:tc>
          <w:tcPr>
            <w:tcW w:w="989"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Altona</w:t>
            </w:r>
          </w:p>
        </w:tc>
        <w:tc>
          <w:tcPr>
            <w:tcW w:w="1150"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Eimsbüttel</w:t>
            </w:r>
          </w:p>
        </w:tc>
        <w:tc>
          <w:tcPr>
            <w:tcW w:w="157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Hamburg-Nord</w:t>
            </w:r>
          </w:p>
        </w:tc>
        <w:tc>
          <w:tcPr>
            <w:tcW w:w="116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Wandsbek</w:t>
            </w:r>
          </w:p>
        </w:tc>
        <w:tc>
          <w:tcPr>
            <w:tcW w:w="1122"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Bergedorf</w:t>
            </w:r>
          </w:p>
        </w:tc>
        <w:tc>
          <w:tcPr>
            <w:tcW w:w="976"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B93878">
              <w:rPr>
                <w:rFonts w:eastAsia="Arial"/>
                <w:sz w:val="20"/>
                <w:lang w:eastAsia="en-US"/>
              </w:rPr>
              <w:t>Harburg</w:t>
            </w:r>
          </w:p>
        </w:tc>
      </w:tr>
      <w:tr w:rsidR="00B93878" w:rsidRPr="00D214A6" w:rsidTr="00D214A6">
        <w:trPr>
          <w:jc w:val="center"/>
        </w:trPr>
        <w:tc>
          <w:tcPr>
            <w:tcW w:w="1570"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425</w:t>
            </w:r>
          </w:p>
        </w:tc>
        <w:tc>
          <w:tcPr>
            <w:tcW w:w="989"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189</w:t>
            </w:r>
          </w:p>
        </w:tc>
        <w:tc>
          <w:tcPr>
            <w:tcW w:w="1150"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174</w:t>
            </w:r>
          </w:p>
        </w:tc>
        <w:tc>
          <w:tcPr>
            <w:tcW w:w="1571"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82</w:t>
            </w:r>
          </w:p>
        </w:tc>
        <w:tc>
          <w:tcPr>
            <w:tcW w:w="1161"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609</w:t>
            </w:r>
          </w:p>
        </w:tc>
        <w:tc>
          <w:tcPr>
            <w:tcW w:w="1122"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274</w:t>
            </w:r>
          </w:p>
        </w:tc>
        <w:tc>
          <w:tcPr>
            <w:tcW w:w="976"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365</w:t>
            </w:r>
          </w:p>
        </w:tc>
      </w:tr>
    </w:tbl>
    <w:p w:rsidR="000527B5" w:rsidRDefault="000527B5" w:rsidP="00F3586E">
      <w:pPr>
        <w:pStyle w:val="Frage-Nummerierung1"/>
        <w:ind w:left="1418" w:hanging="851"/>
      </w:pPr>
      <w:r w:rsidRPr="000527B5">
        <w:t>Wie viele Straßenbäume wurden unterteilt nach den Bezirken im Jahr 2020 nachgepflanzt?</w:t>
      </w:r>
    </w:p>
    <w:p w:rsidR="00B93878" w:rsidRDefault="00B93878" w:rsidP="00B93878">
      <w:pPr>
        <w:pStyle w:val="Frage-Nummerierung1"/>
        <w:numPr>
          <w:ilvl w:val="0"/>
          <w:numId w:val="0"/>
        </w:numPr>
        <w:ind w:left="1588" w:hanging="1588"/>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997"/>
        <w:gridCol w:w="1150"/>
        <w:gridCol w:w="1546"/>
        <w:gridCol w:w="1161"/>
        <w:gridCol w:w="1121"/>
        <w:gridCol w:w="975"/>
      </w:tblGrid>
      <w:tr w:rsidR="00B93878" w:rsidRPr="00D214A6" w:rsidTr="00D214A6">
        <w:trPr>
          <w:jc w:val="center"/>
        </w:trPr>
        <w:tc>
          <w:tcPr>
            <w:tcW w:w="1686"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Hamburg-Mitte</w:t>
            </w:r>
          </w:p>
        </w:tc>
        <w:tc>
          <w:tcPr>
            <w:tcW w:w="997"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Altona</w:t>
            </w:r>
          </w:p>
        </w:tc>
        <w:tc>
          <w:tcPr>
            <w:tcW w:w="1150"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Eimsbüttel</w:t>
            </w:r>
          </w:p>
        </w:tc>
        <w:tc>
          <w:tcPr>
            <w:tcW w:w="1546"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Hamburg-Nord</w:t>
            </w:r>
          </w:p>
        </w:tc>
        <w:tc>
          <w:tcPr>
            <w:tcW w:w="116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Wandsbek</w:t>
            </w:r>
          </w:p>
        </w:tc>
        <w:tc>
          <w:tcPr>
            <w:tcW w:w="112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Bergedorf</w:t>
            </w:r>
          </w:p>
        </w:tc>
        <w:tc>
          <w:tcPr>
            <w:tcW w:w="975"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B93878">
              <w:rPr>
                <w:rFonts w:eastAsia="Arial"/>
                <w:sz w:val="20"/>
                <w:lang w:eastAsia="en-US"/>
              </w:rPr>
              <w:t>Harburg</w:t>
            </w:r>
          </w:p>
        </w:tc>
      </w:tr>
      <w:tr w:rsidR="00B93878" w:rsidRPr="00D214A6" w:rsidTr="00D214A6">
        <w:trPr>
          <w:jc w:val="center"/>
        </w:trPr>
        <w:tc>
          <w:tcPr>
            <w:tcW w:w="1686"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518</w:t>
            </w:r>
          </w:p>
        </w:tc>
        <w:tc>
          <w:tcPr>
            <w:tcW w:w="997"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162</w:t>
            </w:r>
          </w:p>
        </w:tc>
        <w:tc>
          <w:tcPr>
            <w:tcW w:w="1150"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399</w:t>
            </w:r>
          </w:p>
        </w:tc>
        <w:tc>
          <w:tcPr>
            <w:tcW w:w="1546"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67</w:t>
            </w:r>
          </w:p>
        </w:tc>
        <w:tc>
          <w:tcPr>
            <w:tcW w:w="1161"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375</w:t>
            </w:r>
          </w:p>
        </w:tc>
        <w:tc>
          <w:tcPr>
            <w:tcW w:w="1121"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289</w:t>
            </w:r>
          </w:p>
        </w:tc>
        <w:tc>
          <w:tcPr>
            <w:tcW w:w="975" w:type="dxa"/>
            <w:shd w:val="clear" w:color="auto" w:fill="auto"/>
            <w:vAlign w:val="center"/>
          </w:tcPr>
          <w:p w:rsidR="00B93878" w:rsidRPr="00B93878" w:rsidRDefault="00B93878" w:rsidP="00D214A6">
            <w:pPr>
              <w:spacing w:before="240" w:line="240" w:lineRule="auto"/>
              <w:jc w:val="center"/>
              <w:outlineLvl w:val="2"/>
              <w:rPr>
                <w:rFonts w:eastAsia="Arial"/>
                <w:sz w:val="20"/>
                <w:lang w:eastAsia="en-US"/>
              </w:rPr>
            </w:pPr>
            <w:r w:rsidRPr="00D214A6">
              <w:rPr>
                <w:rFonts w:eastAsia="Arial"/>
                <w:sz w:val="20"/>
                <w:lang w:eastAsia="en-US"/>
              </w:rPr>
              <w:t>203</w:t>
            </w:r>
          </w:p>
        </w:tc>
      </w:tr>
    </w:tbl>
    <w:p w:rsidR="000527B5" w:rsidRDefault="000527B5" w:rsidP="00F3586E">
      <w:pPr>
        <w:pStyle w:val="Frage-Nummerierung1"/>
        <w:ind w:left="1418" w:hanging="851"/>
      </w:pPr>
      <w:r w:rsidRPr="000527B5">
        <w:t>Welchen Straßenbaumbestand wiesen die Bezirke im Jahr 2020 auf?</w:t>
      </w:r>
    </w:p>
    <w:p w:rsidR="00B93878" w:rsidRPr="00C23556" w:rsidRDefault="00B93878" w:rsidP="00C23556">
      <w:pPr>
        <w:pStyle w:val="Frage-Nummerierung1"/>
        <w:numPr>
          <w:ilvl w:val="0"/>
          <w:numId w:val="0"/>
        </w:numPr>
        <w:rPr>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6"/>
        <w:gridCol w:w="997"/>
        <w:gridCol w:w="1150"/>
        <w:gridCol w:w="1546"/>
        <w:gridCol w:w="1161"/>
        <w:gridCol w:w="1121"/>
        <w:gridCol w:w="975"/>
      </w:tblGrid>
      <w:tr w:rsidR="00F90C98" w:rsidTr="00F90C98">
        <w:trPr>
          <w:trHeight w:val="400"/>
          <w:jc w:val="center"/>
        </w:trPr>
        <w:tc>
          <w:tcPr>
            <w:tcW w:w="8636" w:type="dxa"/>
            <w:gridSpan w:val="7"/>
          </w:tcPr>
          <w:p w:rsidR="00F90C98" w:rsidRPr="00F90C98" w:rsidRDefault="00F90C98" w:rsidP="00F90C98">
            <w:pPr>
              <w:pStyle w:val="Frage-Nummerierung1"/>
              <w:numPr>
                <w:ilvl w:val="0"/>
                <w:numId w:val="0"/>
              </w:numPr>
              <w:ind w:left="1588" w:hanging="1588"/>
              <w:jc w:val="center"/>
              <w:rPr>
                <w:i w:val="0"/>
              </w:rPr>
            </w:pPr>
            <w:r w:rsidRPr="00F90C98">
              <w:rPr>
                <w:i w:val="0"/>
              </w:rPr>
              <w:t>Stand 31. Dezember 2020</w:t>
            </w:r>
          </w:p>
        </w:tc>
      </w:tr>
      <w:tr w:rsidR="00B93878" w:rsidRPr="00D214A6" w:rsidTr="00F90C98">
        <w:tblPrEx>
          <w:tblCellMar>
            <w:left w:w="108" w:type="dxa"/>
            <w:right w:w="108" w:type="dxa"/>
          </w:tblCellMar>
          <w:tblLook w:val="04A0" w:firstRow="1" w:lastRow="0" w:firstColumn="1" w:lastColumn="0" w:noHBand="0" w:noVBand="1"/>
        </w:tblPrEx>
        <w:trPr>
          <w:jc w:val="center"/>
        </w:trPr>
        <w:tc>
          <w:tcPr>
            <w:tcW w:w="1686"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Hamburg-Mitte</w:t>
            </w:r>
          </w:p>
        </w:tc>
        <w:tc>
          <w:tcPr>
            <w:tcW w:w="997"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Altona</w:t>
            </w:r>
          </w:p>
        </w:tc>
        <w:tc>
          <w:tcPr>
            <w:tcW w:w="1150"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Eimsbüttel</w:t>
            </w:r>
          </w:p>
        </w:tc>
        <w:tc>
          <w:tcPr>
            <w:tcW w:w="1546"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Hamburg-Nord</w:t>
            </w:r>
          </w:p>
        </w:tc>
        <w:tc>
          <w:tcPr>
            <w:tcW w:w="116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Wandsbek</w:t>
            </w:r>
          </w:p>
        </w:tc>
        <w:tc>
          <w:tcPr>
            <w:tcW w:w="1121"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D214A6">
              <w:rPr>
                <w:rFonts w:eastAsia="Arial"/>
                <w:sz w:val="20"/>
                <w:lang w:eastAsia="en-US"/>
              </w:rPr>
              <w:t>Bergedorf</w:t>
            </w:r>
          </w:p>
        </w:tc>
        <w:tc>
          <w:tcPr>
            <w:tcW w:w="975" w:type="dxa"/>
            <w:shd w:val="clear" w:color="auto" w:fill="auto"/>
          </w:tcPr>
          <w:p w:rsidR="00B93878" w:rsidRPr="00B93878" w:rsidRDefault="00B93878" w:rsidP="00D214A6">
            <w:pPr>
              <w:spacing w:before="240" w:line="240" w:lineRule="auto"/>
              <w:jc w:val="both"/>
              <w:outlineLvl w:val="2"/>
              <w:rPr>
                <w:rFonts w:eastAsia="Arial"/>
                <w:sz w:val="20"/>
                <w:lang w:eastAsia="en-US"/>
              </w:rPr>
            </w:pPr>
            <w:r w:rsidRPr="00B93878">
              <w:rPr>
                <w:rFonts w:eastAsia="Arial"/>
                <w:sz w:val="20"/>
                <w:lang w:eastAsia="en-US"/>
              </w:rPr>
              <w:t>Harburg</w:t>
            </w:r>
          </w:p>
        </w:tc>
      </w:tr>
      <w:tr w:rsidR="00B93878" w:rsidRPr="00D214A6" w:rsidTr="00F3586E">
        <w:tblPrEx>
          <w:tblCellMar>
            <w:left w:w="108" w:type="dxa"/>
            <w:right w:w="108" w:type="dxa"/>
          </w:tblCellMar>
          <w:tblLook w:val="04A0" w:firstRow="1" w:lastRow="0" w:firstColumn="1" w:lastColumn="0" w:noHBand="0" w:noVBand="1"/>
        </w:tblPrEx>
        <w:trPr>
          <w:trHeight w:val="296"/>
          <w:jc w:val="center"/>
        </w:trPr>
        <w:tc>
          <w:tcPr>
            <w:tcW w:w="1686"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39.444</w:t>
            </w:r>
          </w:p>
        </w:tc>
        <w:tc>
          <w:tcPr>
            <w:tcW w:w="997"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23.078</w:t>
            </w:r>
          </w:p>
        </w:tc>
        <w:tc>
          <w:tcPr>
            <w:tcW w:w="1150"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26.232</w:t>
            </w:r>
          </w:p>
        </w:tc>
        <w:tc>
          <w:tcPr>
            <w:tcW w:w="1546"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32.550</w:t>
            </w:r>
          </w:p>
        </w:tc>
        <w:tc>
          <w:tcPr>
            <w:tcW w:w="1161"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59.119</w:t>
            </w:r>
          </w:p>
        </w:tc>
        <w:tc>
          <w:tcPr>
            <w:tcW w:w="1121"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22.196</w:t>
            </w:r>
          </w:p>
        </w:tc>
        <w:tc>
          <w:tcPr>
            <w:tcW w:w="975" w:type="dxa"/>
            <w:shd w:val="clear" w:color="auto" w:fill="auto"/>
            <w:vAlign w:val="center"/>
          </w:tcPr>
          <w:p w:rsidR="00B93878" w:rsidRPr="00B93878" w:rsidRDefault="00C23556" w:rsidP="00D214A6">
            <w:pPr>
              <w:spacing w:before="240" w:line="240" w:lineRule="auto"/>
              <w:jc w:val="center"/>
              <w:outlineLvl w:val="2"/>
              <w:rPr>
                <w:rFonts w:eastAsia="Arial"/>
                <w:sz w:val="20"/>
                <w:lang w:eastAsia="en-US"/>
              </w:rPr>
            </w:pPr>
            <w:r w:rsidRPr="00D214A6">
              <w:rPr>
                <w:rFonts w:eastAsia="Arial"/>
                <w:sz w:val="20"/>
                <w:lang w:eastAsia="en-US"/>
              </w:rPr>
              <w:t>23.250</w:t>
            </w:r>
          </w:p>
        </w:tc>
      </w:tr>
    </w:tbl>
    <w:p w:rsidR="000527B5" w:rsidRDefault="000527B5" w:rsidP="00F3586E">
      <w:pPr>
        <w:pStyle w:val="Frage-Nummerierung1"/>
        <w:ind w:left="1418" w:hanging="851"/>
      </w:pPr>
      <w:r w:rsidRPr="000527B5">
        <w:t xml:space="preserve">Im Bereich des Bezirksamts Hamburg-Nord soll seit Beschluss der Bezirksversammlung im Jahr 2014 </w:t>
      </w:r>
      <w:r w:rsidR="00573EB5">
        <w:t>im Verhältnis eins zu eins nach</w:t>
      </w:r>
      <w:r w:rsidRPr="000527B5">
        <w:t>gepflanzt werden. Dies betrifft jeden gefällten Baum unabhängig vom jeweiligen Fällgrund. Wieso hat das Bezirksamt Hamburg Nord im Jahr 2020 nicht im Verhältnis eins zu eins nachgepflanzt? Wieso wurde der Beschluss nicht umgesetzt?</w:t>
      </w:r>
    </w:p>
    <w:p w:rsidR="00C23556" w:rsidRPr="00C23556" w:rsidRDefault="00C23556" w:rsidP="00C23556">
      <w:pPr>
        <w:pStyle w:val="Frage-Nummerierung1"/>
        <w:numPr>
          <w:ilvl w:val="0"/>
          <w:numId w:val="0"/>
        </w:numPr>
        <w:rPr>
          <w:i w:val="0"/>
        </w:rPr>
      </w:pPr>
      <w:r w:rsidRPr="00C23556">
        <w:rPr>
          <w:i w:val="0"/>
        </w:rPr>
        <w:t>Im Bezirk Hamburg-Nord wird jede Fällung innerhalb der Fällliste und im Rahmen von Bauvorhaben nach wie vor 1:1 ersetzt, dazu kommen weitere Pflanzungen an neuen Standorten. Für diese Fragestellung wird im Bezirk</w:t>
      </w:r>
      <w:r>
        <w:rPr>
          <w:i w:val="0"/>
        </w:rPr>
        <w:t>samt Hamburg-Nord nach einer politischen Vor</w:t>
      </w:r>
      <w:r w:rsidRPr="00C23556">
        <w:rPr>
          <w:i w:val="0"/>
        </w:rPr>
        <w:t>gabe die Pflanz</w:t>
      </w:r>
      <w:r>
        <w:rPr>
          <w:i w:val="0"/>
        </w:rPr>
        <w:t xml:space="preserve">saison betrachtet </w:t>
      </w:r>
      <w:r>
        <w:rPr>
          <w:i w:val="0"/>
        </w:rPr>
        <w:lastRenderedPageBreak/>
        <w:t>(Stichtag 1. Juni</w:t>
      </w:r>
      <w:r w:rsidRPr="00C23556">
        <w:rPr>
          <w:i w:val="0"/>
        </w:rPr>
        <w:t>). Die Zahlen weichen deshalb von der jahresbezogenen Bilanzi</w:t>
      </w:r>
      <w:r>
        <w:rPr>
          <w:i w:val="0"/>
        </w:rPr>
        <w:t xml:space="preserve">erung der Straßenbäume ab (siehe </w:t>
      </w:r>
      <w:r w:rsidRPr="00C23556">
        <w:rPr>
          <w:i w:val="0"/>
        </w:rPr>
        <w:t>Antwort</w:t>
      </w:r>
      <w:r>
        <w:rPr>
          <w:i w:val="0"/>
        </w:rPr>
        <w:t xml:space="preserve">en zu </w:t>
      </w:r>
      <w:r w:rsidRPr="00C23556">
        <w:rPr>
          <w:i w:val="0"/>
        </w:rPr>
        <w:t>1</w:t>
      </w:r>
      <w:r>
        <w:rPr>
          <w:i w:val="0"/>
        </w:rPr>
        <w:t>.</w:t>
      </w:r>
      <w:r w:rsidRPr="00C23556">
        <w:rPr>
          <w:i w:val="0"/>
        </w:rPr>
        <w:t xml:space="preserve"> und 2</w:t>
      </w:r>
      <w:r>
        <w:rPr>
          <w:i w:val="0"/>
        </w:rPr>
        <w:t>.</w:t>
      </w:r>
      <w:r w:rsidRPr="00C23556">
        <w:rPr>
          <w:i w:val="0"/>
        </w:rPr>
        <w:t>).</w:t>
      </w:r>
    </w:p>
    <w:p w:rsidR="000527B5" w:rsidRPr="000527B5" w:rsidRDefault="000527B5" w:rsidP="00F3586E">
      <w:pPr>
        <w:pStyle w:val="Frage-Nummerierung1"/>
        <w:ind w:left="1418" w:hanging="851"/>
      </w:pPr>
      <w:r w:rsidRPr="000527B5">
        <w:t xml:space="preserve">Wird das Bezirksamt Nord die Bezirksversammlung Nord darüber informieren, dass der Beschluss zur Nachpflanzung nicht umgesetzt wurde? </w:t>
      </w:r>
    </w:p>
    <w:p w:rsidR="000527B5" w:rsidRPr="000527B5" w:rsidRDefault="000527B5" w:rsidP="00F3586E">
      <w:pPr>
        <w:pStyle w:val="Frage-Nummerierung1"/>
        <w:numPr>
          <w:ilvl w:val="0"/>
          <w:numId w:val="0"/>
        </w:numPr>
        <w:spacing w:before="0"/>
        <w:ind w:left="1418"/>
      </w:pPr>
      <w:r w:rsidRPr="000527B5">
        <w:t xml:space="preserve">Wenn ja, wann? </w:t>
      </w:r>
    </w:p>
    <w:p w:rsidR="000527B5" w:rsidRDefault="000527B5" w:rsidP="00F3586E">
      <w:pPr>
        <w:pStyle w:val="Frage-Nummerierung1"/>
        <w:numPr>
          <w:ilvl w:val="0"/>
          <w:numId w:val="0"/>
        </w:numPr>
        <w:spacing w:before="0"/>
        <w:ind w:left="1418"/>
      </w:pPr>
      <w:r w:rsidRPr="000527B5">
        <w:t>Wenn nein, wieso nicht?</w:t>
      </w:r>
    </w:p>
    <w:p w:rsidR="00C23556" w:rsidRPr="00C23556" w:rsidRDefault="00C23556" w:rsidP="00C23556">
      <w:pPr>
        <w:pStyle w:val="Frage-Nummerierung1"/>
        <w:numPr>
          <w:ilvl w:val="0"/>
          <w:numId w:val="0"/>
        </w:numPr>
        <w:rPr>
          <w:i w:val="0"/>
        </w:rPr>
      </w:pPr>
      <w:r w:rsidRPr="00C23556">
        <w:rPr>
          <w:i w:val="0"/>
        </w:rPr>
        <w:t>Die jährliche Information erfolgt in Kürze nach der Ak</w:t>
      </w:r>
      <w:r>
        <w:rPr>
          <w:i w:val="0"/>
        </w:rPr>
        <w:t>tualisierung aller nachgepflanz</w:t>
      </w:r>
      <w:r w:rsidRPr="00C23556">
        <w:rPr>
          <w:i w:val="0"/>
        </w:rPr>
        <w:t>ten Standorte im Digitalen Straßenbaumkataster.</w:t>
      </w:r>
    </w:p>
    <w:p w:rsidR="000527B5" w:rsidRDefault="000527B5" w:rsidP="00F3586E">
      <w:pPr>
        <w:pStyle w:val="Frage-Nummerierung1"/>
        <w:ind w:left="1418" w:hanging="851"/>
      </w:pPr>
      <w:r w:rsidRPr="000527B5">
        <w:t>Die Bezirksversammlung Wandsbek hat beschlossen, für gefällte Straßenbäume ein Ersatz von eins zu 1,5 zu schaffen ist. Wieso hat das Bezirksamt Wandsbek im Jahr 2020 nicht im Verhältnis eins zu 1,5 nachgepflanzt? Wieso wurde der Beschluss nicht umgesetzt?</w:t>
      </w:r>
    </w:p>
    <w:p w:rsidR="00C23556" w:rsidRPr="00C23556" w:rsidRDefault="00C23556" w:rsidP="00C23556">
      <w:pPr>
        <w:pStyle w:val="Frage-Nummerierung1"/>
        <w:numPr>
          <w:ilvl w:val="0"/>
          <w:numId w:val="0"/>
        </w:numPr>
        <w:rPr>
          <w:i w:val="0"/>
        </w:rPr>
      </w:pPr>
      <w:r w:rsidRPr="00C23556">
        <w:rPr>
          <w:i w:val="0"/>
        </w:rPr>
        <w:t xml:space="preserve">Eine unmittelbare Nachpflanzung im Jahr der </w:t>
      </w:r>
      <w:r w:rsidR="00573005">
        <w:rPr>
          <w:i w:val="0"/>
        </w:rPr>
        <w:t>Fällung</w:t>
      </w:r>
      <w:r w:rsidR="00573005" w:rsidRPr="00C23556">
        <w:rPr>
          <w:i w:val="0"/>
        </w:rPr>
        <w:t xml:space="preserve"> </w:t>
      </w:r>
      <w:r w:rsidRPr="00C23556">
        <w:rPr>
          <w:i w:val="0"/>
        </w:rPr>
        <w:t>ist nicht immer möglich und von verschiedenen Rahmenbedingungen abhängig, insb</w:t>
      </w:r>
      <w:r>
        <w:rPr>
          <w:i w:val="0"/>
        </w:rPr>
        <w:t>esondere auch von der tatsächli</w:t>
      </w:r>
      <w:r w:rsidRPr="00C23556">
        <w:rPr>
          <w:i w:val="0"/>
        </w:rPr>
        <w:t>chen Verfügbarkeit geeigneter Er</w:t>
      </w:r>
      <w:r>
        <w:rPr>
          <w:i w:val="0"/>
        </w:rPr>
        <w:t>satzstandorte und entsprechender</w:t>
      </w:r>
      <w:r w:rsidRPr="00C23556">
        <w:rPr>
          <w:i w:val="0"/>
        </w:rPr>
        <w:t xml:space="preserve"> Ressourcen. Daher ist vorgesehen, weitere Nachpflanzungen ggf. mittelfristig vorzunehmen.</w:t>
      </w:r>
    </w:p>
    <w:p w:rsidR="000527B5" w:rsidRPr="000527B5" w:rsidRDefault="000527B5" w:rsidP="00F3586E">
      <w:pPr>
        <w:pStyle w:val="Frage-Nummerierung1"/>
        <w:ind w:left="1418" w:hanging="851"/>
      </w:pPr>
      <w:r w:rsidRPr="000527B5">
        <w:t xml:space="preserve">Wird das Bezirksamt Wandsbek die Bezirksversammlung Wandsbek darüber informieren, dass der Beschluss zur Nachpflanzung nicht umgesetzt wurde? </w:t>
      </w:r>
    </w:p>
    <w:p w:rsidR="000527B5" w:rsidRPr="000527B5" w:rsidRDefault="000527B5" w:rsidP="00F3586E">
      <w:pPr>
        <w:pStyle w:val="Frage-Nummerierung1"/>
        <w:numPr>
          <w:ilvl w:val="0"/>
          <w:numId w:val="0"/>
        </w:numPr>
        <w:spacing w:before="0"/>
        <w:ind w:left="1418"/>
      </w:pPr>
      <w:r w:rsidRPr="000527B5">
        <w:t xml:space="preserve">Wenn ja, wann? </w:t>
      </w:r>
    </w:p>
    <w:p w:rsidR="000527B5" w:rsidRDefault="000527B5" w:rsidP="00F3586E">
      <w:pPr>
        <w:pStyle w:val="Frage-Nummerierung1"/>
        <w:numPr>
          <w:ilvl w:val="0"/>
          <w:numId w:val="0"/>
        </w:numPr>
        <w:spacing w:before="0"/>
        <w:ind w:left="1418"/>
      </w:pPr>
      <w:r w:rsidRPr="000527B5">
        <w:t>Wenn nein, wieso nicht?</w:t>
      </w:r>
    </w:p>
    <w:p w:rsidR="00C23556" w:rsidRPr="00C23556" w:rsidRDefault="00C23556" w:rsidP="00C23556">
      <w:pPr>
        <w:pStyle w:val="Frage-Nummerierung1"/>
        <w:numPr>
          <w:ilvl w:val="0"/>
          <w:numId w:val="0"/>
        </w:numPr>
        <w:rPr>
          <w:i w:val="0"/>
        </w:rPr>
      </w:pPr>
      <w:r w:rsidRPr="00C23556">
        <w:rPr>
          <w:i w:val="0"/>
        </w:rPr>
        <w:t>Ja, aus den in der Antwort zu 6</w:t>
      </w:r>
      <w:r>
        <w:rPr>
          <w:i w:val="0"/>
        </w:rPr>
        <w:t>.</w:t>
      </w:r>
      <w:r w:rsidRPr="00C23556">
        <w:rPr>
          <w:i w:val="0"/>
        </w:rPr>
        <w:t xml:space="preserve"> genannten Gründen jeweils im zweiten Halbjahr des auf die </w:t>
      </w:r>
      <w:r w:rsidR="00200BC4">
        <w:rPr>
          <w:i w:val="0"/>
        </w:rPr>
        <w:t>Fällung</w:t>
      </w:r>
      <w:r w:rsidRPr="00C23556">
        <w:rPr>
          <w:i w:val="0"/>
        </w:rPr>
        <w:t xml:space="preserve"> folgenden Jahres.</w:t>
      </w:r>
    </w:p>
    <w:p w:rsidR="00C23556" w:rsidRPr="000527B5" w:rsidRDefault="000527B5" w:rsidP="00F3586E">
      <w:pPr>
        <w:pStyle w:val="Frage-Nummerierung1"/>
        <w:ind w:left="1418" w:hanging="851"/>
      </w:pPr>
      <w:r w:rsidRPr="000527B5">
        <w:t>Die Bezirksversammlung Bergedorf hat mit der BV-Drs. 21-0499 beschlossen, für gefällte Straßenbäume ein Ersatz von eins zu 1,5 zu schaffen ist. Wieso hat das Bezirksamt Bergedorf im Jahr 2020 nicht im Verhältnis eins zu 1,5 nachgep</w:t>
      </w:r>
      <w:r w:rsidR="00C23556">
        <w:t>flanzt? Wieso wurde der Be</w:t>
      </w:r>
      <w:r w:rsidRPr="000527B5">
        <w:t>schluss nicht umgesetzt?</w:t>
      </w:r>
    </w:p>
    <w:p w:rsidR="000527B5" w:rsidRPr="000527B5" w:rsidRDefault="000527B5" w:rsidP="00F3586E">
      <w:pPr>
        <w:pStyle w:val="Frage-Nummerierung1"/>
        <w:spacing w:before="0"/>
        <w:ind w:left="1418" w:hanging="851"/>
      </w:pPr>
      <w:r w:rsidRPr="000527B5">
        <w:t xml:space="preserve">Wird das Bezirksamt Bergedorf die Bezirksversammlung Bergedorf darüber informieren, dass der Beschluss zur Nachpflanzung nicht umgesetzt wurde? </w:t>
      </w:r>
    </w:p>
    <w:p w:rsidR="000527B5" w:rsidRPr="000527B5" w:rsidRDefault="000527B5" w:rsidP="00F3586E">
      <w:pPr>
        <w:pStyle w:val="Frage-Nummerierung1"/>
        <w:numPr>
          <w:ilvl w:val="0"/>
          <w:numId w:val="0"/>
        </w:numPr>
        <w:spacing w:before="0"/>
        <w:ind w:left="1418"/>
      </w:pPr>
      <w:r w:rsidRPr="000527B5">
        <w:t xml:space="preserve">Wenn ja, wann? </w:t>
      </w:r>
    </w:p>
    <w:p w:rsidR="000527B5" w:rsidRDefault="000527B5" w:rsidP="00F3586E">
      <w:pPr>
        <w:pStyle w:val="Frage-Nummerierung1"/>
        <w:numPr>
          <w:ilvl w:val="0"/>
          <w:numId w:val="0"/>
        </w:numPr>
        <w:spacing w:before="0"/>
        <w:ind w:left="1418"/>
      </w:pPr>
      <w:r w:rsidRPr="000527B5">
        <w:t>Wenn nein, wieso nicht?</w:t>
      </w:r>
    </w:p>
    <w:p w:rsidR="00C23556" w:rsidRDefault="00C23556" w:rsidP="00C23556">
      <w:pPr>
        <w:pStyle w:val="Frage-Nummerierung1"/>
        <w:numPr>
          <w:ilvl w:val="0"/>
          <w:numId w:val="0"/>
        </w:numPr>
        <w:rPr>
          <w:i w:val="0"/>
        </w:rPr>
      </w:pPr>
      <w:r w:rsidRPr="00C23556">
        <w:rPr>
          <w:i w:val="0"/>
        </w:rPr>
        <w:t>Der Umweltausschuss des Bezirksamtes Bergedorf hat in seiner Sitzung am 9. September 2020 die Drs. 21-0499 beraten und anschließend darüber abgestimmt. Der Antrag wurde einstimmig angenommen. Die Bezirksversammlung des Bezirksamtes Bergedorf hat sich dem Votum des Umweltausschusses am 27. Mai 2021 angeschlossen, so dass damit die Drs. 21-0499 an diesem Tag beschlossen wurde. Somit konnte die Umsetzung bzw. die Berücksichtigung der Drucksache erst im Anschluss erfolgen und nicht bereits im Jahr 2020.</w:t>
      </w:r>
    </w:p>
    <w:p w:rsidR="00C23556" w:rsidRPr="00C23556" w:rsidRDefault="00C23556" w:rsidP="00C23556">
      <w:pPr>
        <w:pStyle w:val="Frage-Nummerierung1"/>
        <w:numPr>
          <w:ilvl w:val="0"/>
          <w:numId w:val="0"/>
        </w:numPr>
        <w:rPr>
          <w:i w:val="0"/>
        </w:rPr>
      </w:pPr>
    </w:p>
    <w:p w:rsidR="000527B5" w:rsidRPr="000527B5" w:rsidRDefault="000527B5" w:rsidP="00F3586E">
      <w:pPr>
        <w:pStyle w:val="Frage-Nummerierung1"/>
        <w:ind w:left="1701" w:hanging="1134"/>
      </w:pPr>
      <w:r w:rsidRPr="000527B5">
        <w:t>Sollten aus der Sicht des Senat</w:t>
      </w:r>
      <w:r w:rsidR="007802A9">
        <w:t>s Beschlüsse der Bezirksversamm</w:t>
      </w:r>
      <w:r w:rsidRPr="000527B5">
        <w:t xml:space="preserve">lung vom Bezirksamt umgesetzt werden? </w:t>
      </w:r>
    </w:p>
    <w:p w:rsidR="000527B5" w:rsidRPr="000527B5" w:rsidRDefault="000527B5" w:rsidP="00F3586E">
      <w:pPr>
        <w:pStyle w:val="Frage-Nummerierung1"/>
        <w:numPr>
          <w:ilvl w:val="0"/>
          <w:numId w:val="0"/>
        </w:numPr>
        <w:spacing w:before="0"/>
        <w:ind w:left="1701"/>
      </w:pPr>
      <w:r w:rsidRPr="000527B5">
        <w:t>Wenn ja, welche Konsequenzen l</w:t>
      </w:r>
      <w:r w:rsidR="007802A9">
        <w:t>eiten sich aus der Sicht des Se</w:t>
      </w:r>
      <w:r w:rsidRPr="000527B5">
        <w:t xml:space="preserve">nats ab, wenn Beschlüsse nicht umgesetzt werden? </w:t>
      </w:r>
    </w:p>
    <w:p w:rsidR="000527B5" w:rsidRPr="000527B5" w:rsidRDefault="000527B5" w:rsidP="00F3586E">
      <w:pPr>
        <w:pStyle w:val="Frage-Nummerierung1"/>
        <w:numPr>
          <w:ilvl w:val="0"/>
          <w:numId w:val="0"/>
        </w:numPr>
        <w:spacing w:before="0"/>
        <w:ind w:left="1701"/>
      </w:pPr>
      <w:r w:rsidRPr="000527B5">
        <w:t>Wenn nein, wieso nicht?</w:t>
      </w:r>
    </w:p>
    <w:p w:rsidR="000527B5" w:rsidRPr="000527B5" w:rsidRDefault="000527B5" w:rsidP="00F3586E">
      <w:pPr>
        <w:pStyle w:val="Frage-Nummerierung1"/>
        <w:ind w:left="1701" w:hanging="1134"/>
      </w:pPr>
      <w:r w:rsidRPr="000527B5">
        <w:t xml:space="preserve">Sollten die Bezirksämter aus der </w:t>
      </w:r>
      <w:r w:rsidR="007802A9">
        <w:t>Sicht des Senats die Bezirksver</w:t>
      </w:r>
      <w:r w:rsidRPr="000527B5">
        <w:t xml:space="preserve">sammlungen darüber informieren, wenn Beschlüsse nicht umgesetzt werden? </w:t>
      </w:r>
    </w:p>
    <w:p w:rsidR="000527B5" w:rsidRPr="000527B5" w:rsidRDefault="000527B5" w:rsidP="00F3586E">
      <w:pPr>
        <w:pStyle w:val="Frage-Nummerierung1"/>
        <w:numPr>
          <w:ilvl w:val="0"/>
          <w:numId w:val="0"/>
        </w:numPr>
        <w:spacing w:before="0"/>
        <w:ind w:left="1701"/>
      </w:pPr>
      <w:r w:rsidRPr="000527B5">
        <w:t xml:space="preserve">Wenn ja, wie überwacht der Senat dies? </w:t>
      </w:r>
    </w:p>
    <w:p w:rsidR="000527B5" w:rsidRDefault="000527B5" w:rsidP="00F3586E">
      <w:pPr>
        <w:pStyle w:val="Frage-Nummerierung1"/>
        <w:numPr>
          <w:ilvl w:val="0"/>
          <w:numId w:val="0"/>
        </w:numPr>
        <w:spacing w:before="0"/>
        <w:ind w:left="1701"/>
      </w:pPr>
      <w:r w:rsidRPr="000527B5">
        <w:t>Wenn nein, wieso nicht?</w:t>
      </w:r>
    </w:p>
    <w:p w:rsidR="007802A9" w:rsidRDefault="007802A9" w:rsidP="007802A9">
      <w:pPr>
        <w:pStyle w:val="Frage-Nummerierung1"/>
        <w:numPr>
          <w:ilvl w:val="0"/>
          <w:numId w:val="0"/>
        </w:numPr>
        <w:rPr>
          <w:i w:val="0"/>
        </w:rPr>
      </w:pPr>
      <w:r w:rsidRPr="007802A9">
        <w:rPr>
          <w:i w:val="0"/>
        </w:rPr>
        <w:lastRenderedPageBreak/>
        <w:t>Das Bezirksamt setzt Entscheidungen der Bezir</w:t>
      </w:r>
      <w:r>
        <w:rPr>
          <w:i w:val="0"/>
        </w:rPr>
        <w:t>ksversammlung um, soweit die Be</w:t>
      </w:r>
      <w:r w:rsidRPr="007802A9">
        <w:rPr>
          <w:i w:val="0"/>
        </w:rPr>
        <w:t xml:space="preserve">zirksamtsleitung diese nicht beanstandet, § 22 Abs. 1 </w:t>
      </w:r>
      <w:r>
        <w:rPr>
          <w:i w:val="0"/>
        </w:rPr>
        <w:t>Bezirksverwaltungsgesetz (</w:t>
      </w:r>
      <w:r w:rsidRPr="007802A9">
        <w:rPr>
          <w:i w:val="0"/>
        </w:rPr>
        <w:t>BezVG</w:t>
      </w:r>
      <w:r>
        <w:rPr>
          <w:i w:val="0"/>
        </w:rPr>
        <w:t>)</w:t>
      </w:r>
      <w:r w:rsidRPr="007802A9">
        <w:rPr>
          <w:i w:val="0"/>
        </w:rPr>
        <w:t>. Wenn ein bindender Beschluss nicht ausgeführt wird, kann die Bezirks</w:t>
      </w:r>
      <w:r>
        <w:rPr>
          <w:i w:val="0"/>
        </w:rPr>
        <w:t>versammlung über die Bezirksauf</w:t>
      </w:r>
      <w:r w:rsidRPr="007802A9">
        <w:rPr>
          <w:i w:val="0"/>
        </w:rPr>
        <w:t xml:space="preserve">sichtsbehörde den Senat anrufen, § 23 S. 1 und 2 BezVG. Im Übrigen hat sich der Senat </w:t>
      </w:r>
      <w:r w:rsidR="00D50C40">
        <w:rPr>
          <w:i w:val="0"/>
        </w:rPr>
        <w:t>hiermit</w:t>
      </w:r>
      <w:r w:rsidR="00D50C40" w:rsidRPr="007802A9">
        <w:rPr>
          <w:i w:val="0"/>
        </w:rPr>
        <w:t xml:space="preserve"> </w:t>
      </w:r>
      <w:r w:rsidRPr="007802A9">
        <w:rPr>
          <w:i w:val="0"/>
        </w:rPr>
        <w:t>nicht befasst.</w:t>
      </w:r>
    </w:p>
    <w:p w:rsidR="000527B5" w:rsidRDefault="000527B5" w:rsidP="00F3586E">
      <w:pPr>
        <w:pStyle w:val="Frage-Nummerierung1"/>
        <w:ind w:left="1701" w:hanging="1134"/>
      </w:pPr>
      <w:r w:rsidRPr="000527B5">
        <w:t>Die CDU-Fraktion hat mehrfach mitgeteilt, dass sie von Großen Anfragen zu den jeweiligen Baumstatistiken absieht, wenn die Bezirksämter zukünftig transparent die Statistiken erstellen. Sollten Bezirksämter weiterhin die Erstel</w:t>
      </w:r>
      <w:r>
        <w:t>lung von den jeweiligen Baumsta</w:t>
      </w:r>
      <w:r w:rsidRPr="000527B5">
        <w:t>tistiken verweigern, wird die CDU-Fraktion gezwungen sein mittels Großer Anfragen diese Zahlen zu ermitteln. Welche Bezirksämter wollen auch zukünftig keine Stat</w:t>
      </w:r>
      <w:r w:rsidR="00B721CE">
        <w:t>istik zu den Fällungen und Nach</w:t>
      </w:r>
      <w:r w:rsidRPr="000527B5">
        <w:t>pflanzungen auf öffentlichem Grün veröffentlichen?</w:t>
      </w:r>
    </w:p>
    <w:p w:rsidR="00200BC4" w:rsidRDefault="00F90C98" w:rsidP="00C74687">
      <w:pPr>
        <w:pStyle w:val="Frage-Nummerierung1"/>
        <w:numPr>
          <w:ilvl w:val="0"/>
          <w:numId w:val="0"/>
        </w:numPr>
        <w:ind w:left="1588" w:hanging="1588"/>
        <w:rPr>
          <w:i w:val="0"/>
        </w:rPr>
      </w:pPr>
      <w:r>
        <w:rPr>
          <w:i w:val="0"/>
        </w:rPr>
        <w:t xml:space="preserve">Siehe Drs. 22/4992. </w:t>
      </w:r>
    </w:p>
    <w:p w:rsidR="009E56B6" w:rsidRDefault="000527B5" w:rsidP="00F3586E">
      <w:pPr>
        <w:pStyle w:val="Frage-Nummerierung1"/>
        <w:ind w:left="1701" w:hanging="1134"/>
      </w:pPr>
      <w:r w:rsidRPr="000527B5">
        <w:t>Welche Bezirksämter wollen auch zukünftig keine Statistik zu den Fällungen und Nachpflanzungen auf private Grund veröffentlichen?</w:t>
      </w:r>
    </w:p>
    <w:p w:rsidR="00C23556" w:rsidRPr="00C23556" w:rsidRDefault="00C23556" w:rsidP="00C23556">
      <w:pPr>
        <w:pStyle w:val="Frage-Nummerierung1"/>
        <w:numPr>
          <w:ilvl w:val="0"/>
          <w:numId w:val="0"/>
        </w:numPr>
        <w:rPr>
          <w:i w:val="0"/>
        </w:rPr>
      </w:pPr>
      <w:r w:rsidRPr="00C23556">
        <w:rPr>
          <w:i w:val="0"/>
        </w:rPr>
        <w:t xml:space="preserve">Eine allgemeine Veröffentlichung der Fällungen und Nachpflanzungen von Bäumen auf privatem </w:t>
      </w:r>
      <w:r w:rsidR="00573EB5">
        <w:rPr>
          <w:i w:val="0"/>
        </w:rPr>
        <w:t>Grund ist in keinem der Bezirksä</w:t>
      </w:r>
      <w:r w:rsidRPr="00C23556">
        <w:rPr>
          <w:i w:val="0"/>
        </w:rPr>
        <w:t>mt</w:t>
      </w:r>
      <w:r w:rsidR="00573EB5">
        <w:rPr>
          <w:i w:val="0"/>
        </w:rPr>
        <w:t>er</w:t>
      </w:r>
      <w:r w:rsidRPr="00C23556">
        <w:rPr>
          <w:i w:val="0"/>
        </w:rPr>
        <w:t xml:space="preserve"> vorgesehen. Eine Unterrichtung der Bezirksversammlungen findet in den Bezirksämtern Hamburg-Mitte, Altona, Eim</w:t>
      </w:r>
      <w:r w:rsidR="0088654B">
        <w:rPr>
          <w:i w:val="0"/>
        </w:rPr>
        <w:t xml:space="preserve">sbüttel und Hamburg-Nord statt, </w:t>
      </w:r>
      <w:r w:rsidRPr="00C23556">
        <w:rPr>
          <w:i w:val="0"/>
        </w:rPr>
        <w:t xml:space="preserve">siehe </w:t>
      </w:r>
      <w:r w:rsidR="00573EB5">
        <w:rPr>
          <w:i w:val="0"/>
        </w:rPr>
        <w:t>Drs. 22/4235.</w:t>
      </w:r>
      <w:r w:rsidR="00200BC4">
        <w:rPr>
          <w:i w:val="0"/>
        </w:rPr>
        <w:t xml:space="preserve"> </w:t>
      </w:r>
      <w:r w:rsidRPr="00C23556">
        <w:rPr>
          <w:i w:val="0"/>
        </w:rPr>
        <w:t>Für die Bezirksämter Wandsbek, Bergedorf und Harburg ist eine Information der Bezirksversammlungen derzeit nicht geplant. Die Bezirksämter entscheiden in eigener Zuständigkeit darüber, ob und inwieweit entsprechende Daten in den politischen Gremien bekannt geben werden.</w:t>
      </w:r>
    </w:p>
    <w:sectPr w:rsidR="00C23556" w:rsidRPr="00C23556" w:rsidSect="00643A4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5F" w:rsidRDefault="00E7305F">
      <w:r>
        <w:separator/>
      </w:r>
    </w:p>
  </w:endnote>
  <w:endnote w:type="continuationSeparator" w:id="0">
    <w:p w:rsidR="00E7305F" w:rsidRDefault="00E7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F9" w:rsidRPr="00D60166" w:rsidRDefault="00D60166">
    <w:pPr>
      <w:pStyle w:val="Fuzeile"/>
      <w:rPr>
        <w:rFonts w:cs="Arial"/>
        <w:sz w:val="20"/>
      </w:rPr>
    </w:pPr>
    <w:r>
      <w:rPr>
        <w:rFonts w:cs="Arial"/>
        <w:sz w:val="20"/>
      </w:rPr>
      <w:t>22-05236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F9" w:rsidRPr="00D60166" w:rsidRDefault="00D60166">
    <w:pPr>
      <w:pStyle w:val="Fuzeile"/>
      <w:rPr>
        <w:rFonts w:cs="Arial"/>
        <w:sz w:val="20"/>
      </w:rPr>
    </w:pPr>
    <w:r>
      <w:rPr>
        <w:rFonts w:cs="Arial"/>
        <w:sz w:val="20"/>
      </w:rPr>
      <w:t>22-05236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373A0C">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373A0C">
      <w:rPr>
        <w:rFonts w:cs="Arial"/>
        <w:noProof/>
        <w:sz w:val="20"/>
      </w:rPr>
      <w:t>3</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F9" w:rsidRPr="00D60166" w:rsidRDefault="00D60166">
    <w:pPr>
      <w:pStyle w:val="Fuzeile"/>
      <w:rPr>
        <w:rFonts w:cs="Arial"/>
        <w:sz w:val="20"/>
      </w:rPr>
    </w:pPr>
    <w:r>
      <w:rPr>
        <w:rFonts w:cs="Arial"/>
        <w:sz w:val="20"/>
      </w:rPr>
      <w:t>22-05236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373A0C">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373A0C">
      <w:rPr>
        <w:rFonts w:cs="Arial"/>
        <w:noProof/>
        <w:sz w:val="20"/>
      </w:rPr>
      <w:t>3</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5F" w:rsidRDefault="00E7305F">
      <w:r>
        <w:separator/>
      </w:r>
    </w:p>
  </w:footnote>
  <w:footnote w:type="continuationSeparator" w:id="0">
    <w:p w:rsidR="00E7305F" w:rsidRDefault="00E7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A0C">
      <w:rPr>
        <w:rStyle w:val="Seitenzahl"/>
        <w:noProof/>
      </w:rPr>
      <w:t>2</w:t>
    </w:r>
    <w:r>
      <w:rPr>
        <w:rStyle w:val="Seitenzahl"/>
      </w:rPr>
      <w:fldChar w:fldCharType="end"/>
    </w:r>
  </w:p>
  <w:p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F9" w:rsidRDefault="00AD44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E0071EF"/>
    <w:multiLevelType w:val="multilevel"/>
    <w:tmpl w:val="A998AD74"/>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2"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12"/>
  </w:num>
  <w:num w:numId="5">
    <w:abstractNumId w:val="0"/>
  </w:num>
  <w:num w:numId="6">
    <w:abstractNumId w:val="9"/>
  </w:num>
  <w:num w:numId="7">
    <w:abstractNumId w:val="7"/>
  </w:num>
  <w:num w:numId="8">
    <w:abstractNumId w:val="1"/>
  </w:num>
  <w:num w:numId="9">
    <w:abstractNumId w:val="4"/>
  </w:num>
  <w:num w:numId="10">
    <w:abstractNumId w:val="10"/>
  </w:num>
  <w:num w:numId="11">
    <w:abstractNumId w:val="6"/>
  </w:num>
  <w:num w:numId="12">
    <w:abstractNumId w:val="2"/>
  </w:num>
  <w:num w:numId="13">
    <w:abstractNumId w:val="14"/>
  </w:num>
  <w:num w:numId="14">
    <w:abstractNumId w:val="3"/>
  </w:num>
  <w:num w:numId="15">
    <w:abstractNumId w:val="11"/>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11"/>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7A"/>
    <w:rsid w:val="00000BA4"/>
    <w:rsid w:val="00006B01"/>
    <w:rsid w:val="000153C0"/>
    <w:rsid w:val="00042C45"/>
    <w:rsid w:val="000527B5"/>
    <w:rsid w:val="00052B45"/>
    <w:rsid w:val="00063BAB"/>
    <w:rsid w:val="000674B4"/>
    <w:rsid w:val="0007709A"/>
    <w:rsid w:val="00092C03"/>
    <w:rsid w:val="000A1FFC"/>
    <w:rsid w:val="000A2056"/>
    <w:rsid w:val="000B46F8"/>
    <w:rsid w:val="000C3A4A"/>
    <w:rsid w:val="000D6698"/>
    <w:rsid w:val="000E1DD9"/>
    <w:rsid w:val="000E5856"/>
    <w:rsid w:val="000F5B16"/>
    <w:rsid w:val="001140FF"/>
    <w:rsid w:val="00132576"/>
    <w:rsid w:val="0014555A"/>
    <w:rsid w:val="00157343"/>
    <w:rsid w:val="00167437"/>
    <w:rsid w:val="00170BBD"/>
    <w:rsid w:val="0018345B"/>
    <w:rsid w:val="001939A2"/>
    <w:rsid w:val="001A79A7"/>
    <w:rsid w:val="001C4CA7"/>
    <w:rsid w:val="001D52E6"/>
    <w:rsid w:val="001D592B"/>
    <w:rsid w:val="001E6C76"/>
    <w:rsid w:val="001E7334"/>
    <w:rsid w:val="00200BC4"/>
    <w:rsid w:val="00204E84"/>
    <w:rsid w:val="00217D86"/>
    <w:rsid w:val="00224F9D"/>
    <w:rsid w:val="00231F35"/>
    <w:rsid w:val="002448EA"/>
    <w:rsid w:val="00250D0E"/>
    <w:rsid w:val="00256A80"/>
    <w:rsid w:val="002638A5"/>
    <w:rsid w:val="00273F2E"/>
    <w:rsid w:val="00282058"/>
    <w:rsid w:val="0028669D"/>
    <w:rsid w:val="00286B3E"/>
    <w:rsid w:val="00290512"/>
    <w:rsid w:val="002B5F4E"/>
    <w:rsid w:val="002B7DA9"/>
    <w:rsid w:val="002C748F"/>
    <w:rsid w:val="002D2ED6"/>
    <w:rsid w:val="002E4182"/>
    <w:rsid w:val="00331604"/>
    <w:rsid w:val="00346C8D"/>
    <w:rsid w:val="0035759C"/>
    <w:rsid w:val="003620F6"/>
    <w:rsid w:val="0036553B"/>
    <w:rsid w:val="00373A0C"/>
    <w:rsid w:val="00376E14"/>
    <w:rsid w:val="003B194F"/>
    <w:rsid w:val="003B6051"/>
    <w:rsid w:val="003D22DC"/>
    <w:rsid w:val="003D5029"/>
    <w:rsid w:val="003E2E94"/>
    <w:rsid w:val="003E643A"/>
    <w:rsid w:val="003F4D15"/>
    <w:rsid w:val="00403255"/>
    <w:rsid w:val="00414B4B"/>
    <w:rsid w:val="00416643"/>
    <w:rsid w:val="00434CA6"/>
    <w:rsid w:val="00440907"/>
    <w:rsid w:val="00440E25"/>
    <w:rsid w:val="00441997"/>
    <w:rsid w:val="0045640C"/>
    <w:rsid w:val="0049211A"/>
    <w:rsid w:val="004952B7"/>
    <w:rsid w:val="00497078"/>
    <w:rsid w:val="004A1A07"/>
    <w:rsid w:val="004A40F4"/>
    <w:rsid w:val="004D6179"/>
    <w:rsid w:val="004D6ECF"/>
    <w:rsid w:val="004E1956"/>
    <w:rsid w:val="004E4D95"/>
    <w:rsid w:val="005015DA"/>
    <w:rsid w:val="00517DC6"/>
    <w:rsid w:val="00520509"/>
    <w:rsid w:val="0053116B"/>
    <w:rsid w:val="005600C0"/>
    <w:rsid w:val="00564EF0"/>
    <w:rsid w:val="00573005"/>
    <w:rsid w:val="00573EB5"/>
    <w:rsid w:val="00584CA0"/>
    <w:rsid w:val="00593BF6"/>
    <w:rsid w:val="005B15FB"/>
    <w:rsid w:val="005C0F17"/>
    <w:rsid w:val="005C2B80"/>
    <w:rsid w:val="005D1542"/>
    <w:rsid w:val="005E007B"/>
    <w:rsid w:val="005F4080"/>
    <w:rsid w:val="00605711"/>
    <w:rsid w:val="00611767"/>
    <w:rsid w:val="00617EA5"/>
    <w:rsid w:val="00625469"/>
    <w:rsid w:val="0063137A"/>
    <w:rsid w:val="00636D80"/>
    <w:rsid w:val="00640BDE"/>
    <w:rsid w:val="00643A4E"/>
    <w:rsid w:val="006579BB"/>
    <w:rsid w:val="00660E47"/>
    <w:rsid w:val="00676229"/>
    <w:rsid w:val="00682416"/>
    <w:rsid w:val="00694FB5"/>
    <w:rsid w:val="006A193C"/>
    <w:rsid w:val="006B1093"/>
    <w:rsid w:val="006C522B"/>
    <w:rsid w:val="006D42A5"/>
    <w:rsid w:val="006E64D1"/>
    <w:rsid w:val="006F6A31"/>
    <w:rsid w:val="0070145B"/>
    <w:rsid w:val="00704510"/>
    <w:rsid w:val="0071095E"/>
    <w:rsid w:val="00714901"/>
    <w:rsid w:val="00720D58"/>
    <w:rsid w:val="00754457"/>
    <w:rsid w:val="00757885"/>
    <w:rsid w:val="00757F32"/>
    <w:rsid w:val="00766B96"/>
    <w:rsid w:val="007802A9"/>
    <w:rsid w:val="007C3747"/>
    <w:rsid w:val="007C5532"/>
    <w:rsid w:val="007D2A7C"/>
    <w:rsid w:val="007D3722"/>
    <w:rsid w:val="007D62BD"/>
    <w:rsid w:val="007E296D"/>
    <w:rsid w:val="0080798A"/>
    <w:rsid w:val="008126C3"/>
    <w:rsid w:val="00821F1C"/>
    <w:rsid w:val="0083284F"/>
    <w:rsid w:val="008357C8"/>
    <w:rsid w:val="00845747"/>
    <w:rsid w:val="00862256"/>
    <w:rsid w:val="00863565"/>
    <w:rsid w:val="00871C76"/>
    <w:rsid w:val="0088654B"/>
    <w:rsid w:val="008905B0"/>
    <w:rsid w:val="008C4307"/>
    <w:rsid w:val="008D49CD"/>
    <w:rsid w:val="008F0A31"/>
    <w:rsid w:val="008F1105"/>
    <w:rsid w:val="00903AF2"/>
    <w:rsid w:val="009108E0"/>
    <w:rsid w:val="00924706"/>
    <w:rsid w:val="009309EA"/>
    <w:rsid w:val="00933754"/>
    <w:rsid w:val="00941B38"/>
    <w:rsid w:val="00942458"/>
    <w:rsid w:val="009578B1"/>
    <w:rsid w:val="0098448E"/>
    <w:rsid w:val="009872A0"/>
    <w:rsid w:val="009A2289"/>
    <w:rsid w:val="009A3CF8"/>
    <w:rsid w:val="009B1CD8"/>
    <w:rsid w:val="009C1759"/>
    <w:rsid w:val="009D2883"/>
    <w:rsid w:val="009D30D0"/>
    <w:rsid w:val="009D663C"/>
    <w:rsid w:val="009E102C"/>
    <w:rsid w:val="009E56B6"/>
    <w:rsid w:val="009F26F7"/>
    <w:rsid w:val="009F45AA"/>
    <w:rsid w:val="009F5FE2"/>
    <w:rsid w:val="009F7190"/>
    <w:rsid w:val="00A07D60"/>
    <w:rsid w:val="00A11DB2"/>
    <w:rsid w:val="00A22201"/>
    <w:rsid w:val="00A23295"/>
    <w:rsid w:val="00A3718E"/>
    <w:rsid w:val="00A409AD"/>
    <w:rsid w:val="00A42EA1"/>
    <w:rsid w:val="00A43DFF"/>
    <w:rsid w:val="00A46600"/>
    <w:rsid w:val="00A52677"/>
    <w:rsid w:val="00A61D79"/>
    <w:rsid w:val="00A62F34"/>
    <w:rsid w:val="00A73232"/>
    <w:rsid w:val="00A73265"/>
    <w:rsid w:val="00A74FD1"/>
    <w:rsid w:val="00A77854"/>
    <w:rsid w:val="00A840EF"/>
    <w:rsid w:val="00A857B5"/>
    <w:rsid w:val="00AA61D3"/>
    <w:rsid w:val="00AC3CBA"/>
    <w:rsid w:val="00AD44F9"/>
    <w:rsid w:val="00AE40D9"/>
    <w:rsid w:val="00AF0E82"/>
    <w:rsid w:val="00B07D96"/>
    <w:rsid w:val="00B17620"/>
    <w:rsid w:val="00B21133"/>
    <w:rsid w:val="00B42CF5"/>
    <w:rsid w:val="00B43C37"/>
    <w:rsid w:val="00B6557E"/>
    <w:rsid w:val="00B70A25"/>
    <w:rsid w:val="00B721CE"/>
    <w:rsid w:val="00B7374B"/>
    <w:rsid w:val="00B86453"/>
    <w:rsid w:val="00B86F18"/>
    <w:rsid w:val="00B93878"/>
    <w:rsid w:val="00BB226F"/>
    <w:rsid w:val="00BB314C"/>
    <w:rsid w:val="00BD78F2"/>
    <w:rsid w:val="00BE1437"/>
    <w:rsid w:val="00BE1DE1"/>
    <w:rsid w:val="00C04688"/>
    <w:rsid w:val="00C07CBF"/>
    <w:rsid w:val="00C152AE"/>
    <w:rsid w:val="00C23556"/>
    <w:rsid w:val="00C25D66"/>
    <w:rsid w:val="00C34F9B"/>
    <w:rsid w:val="00C40CBB"/>
    <w:rsid w:val="00C72828"/>
    <w:rsid w:val="00C72D46"/>
    <w:rsid w:val="00C73AD1"/>
    <w:rsid w:val="00C74687"/>
    <w:rsid w:val="00C803D8"/>
    <w:rsid w:val="00C8501D"/>
    <w:rsid w:val="00C851F7"/>
    <w:rsid w:val="00C915E3"/>
    <w:rsid w:val="00C97BD8"/>
    <w:rsid w:val="00CA0EFE"/>
    <w:rsid w:val="00CC3B7D"/>
    <w:rsid w:val="00CD0D4A"/>
    <w:rsid w:val="00CD5B34"/>
    <w:rsid w:val="00CE29EE"/>
    <w:rsid w:val="00CE3C97"/>
    <w:rsid w:val="00D031F8"/>
    <w:rsid w:val="00D06453"/>
    <w:rsid w:val="00D0758B"/>
    <w:rsid w:val="00D214A6"/>
    <w:rsid w:val="00D2275A"/>
    <w:rsid w:val="00D22C81"/>
    <w:rsid w:val="00D26D45"/>
    <w:rsid w:val="00D27084"/>
    <w:rsid w:val="00D36944"/>
    <w:rsid w:val="00D47774"/>
    <w:rsid w:val="00D50C40"/>
    <w:rsid w:val="00D60166"/>
    <w:rsid w:val="00D60472"/>
    <w:rsid w:val="00D631A9"/>
    <w:rsid w:val="00D67A5B"/>
    <w:rsid w:val="00D67DA0"/>
    <w:rsid w:val="00D77CBA"/>
    <w:rsid w:val="00D844EC"/>
    <w:rsid w:val="00D860DE"/>
    <w:rsid w:val="00D8663C"/>
    <w:rsid w:val="00D92A21"/>
    <w:rsid w:val="00D93123"/>
    <w:rsid w:val="00DA1E8C"/>
    <w:rsid w:val="00DD5F2B"/>
    <w:rsid w:val="00DD7536"/>
    <w:rsid w:val="00DE0298"/>
    <w:rsid w:val="00DF7BE4"/>
    <w:rsid w:val="00E36CC8"/>
    <w:rsid w:val="00E401CB"/>
    <w:rsid w:val="00E50B3E"/>
    <w:rsid w:val="00E533E8"/>
    <w:rsid w:val="00E65A34"/>
    <w:rsid w:val="00E7305F"/>
    <w:rsid w:val="00E74BC9"/>
    <w:rsid w:val="00E767EB"/>
    <w:rsid w:val="00E81221"/>
    <w:rsid w:val="00E8362A"/>
    <w:rsid w:val="00E964D1"/>
    <w:rsid w:val="00EB176B"/>
    <w:rsid w:val="00EB4F53"/>
    <w:rsid w:val="00EB60A4"/>
    <w:rsid w:val="00EE75EF"/>
    <w:rsid w:val="00EF2C83"/>
    <w:rsid w:val="00EF39A8"/>
    <w:rsid w:val="00F02A69"/>
    <w:rsid w:val="00F23BC8"/>
    <w:rsid w:val="00F2437C"/>
    <w:rsid w:val="00F3586E"/>
    <w:rsid w:val="00F43500"/>
    <w:rsid w:val="00F50710"/>
    <w:rsid w:val="00F90C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32EDBF-7102-4359-BDAE-36C3EAE4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5"/>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17"/>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table" w:customStyle="1" w:styleId="Tabellenraster1">
    <w:name w:val="Tabellenraster1"/>
    <w:basedOn w:val="NormaleTabelle"/>
    <w:next w:val="Tabellenraster"/>
    <w:uiPriority w:val="39"/>
    <w:rsid w:val="00B9387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9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9387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9387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9387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C23556"/>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SKA-M.dot</Template>
  <TotalTime>0</TotalTime>
  <Pages>3</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Mühlenkamp, Thomas</cp:lastModifiedBy>
  <cp:revision>2</cp:revision>
  <cp:lastPrinted>2011-05-25T12:29:00Z</cp:lastPrinted>
  <dcterms:created xsi:type="dcterms:W3CDTF">2021-07-29T06:43:00Z</dcterms:created>
  <dcterms:modified xsi:type="dcterms:W3CDTF">2021-07-29T06:43:00Z</dcterms:modified>
</cp:coreProperties>
</file>