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0BF42" w14:textId="5345D87B" w:rsidR="008F681B" w:rsidRDefault="00E515F0" w:rsidP="008E349D">
      <w:pPr>
        <w:spacing w:line="240" w:lineRule="auto"/>
        <w:jc w:val="right"/>
        <w:rPr>
          <w:b/>
          <w:sz w:val="28"/>
          <w:szCs w:val="28"/>
        </w:rPr>
      </w:pPr>
      <w:r>
        <w:rPr>
          <w:b/>
          <w:sz w:val="28"/>
          <w:szCs w:val="28"/>
        </w:rPr>
        <w:t xml:space="preserve"> </w:t>
      </w:r>
      <w:r>
        <w:rPr>
          <w:b/>
          <w:sz w:val="28"/>
          <w:szCs w:val="28"/>
        </w:rPr>
        <w:br/>
      </w:r>
    </w:p>
    <w:p w14:paraId="465E1A59" w14:textId="405C0AE8" w:rsidR="008E349D" w:rsidRPr="008E349D" w:rsidRDefault="008E349D" w:rsidP="008E349D">
      <w:pPr>
        <w:spacing w:line="240" w:lineRule="auto"/>
        <w:jc w:val="right"/>
        <w:rPr>
          <w:b/>
          <w:i/>
          <w:szCs w:val="24"/>
        </w:rPr>
      </w:pPr>
    </w:p>
    <w:p w14:paraId="2EF62370" w14:textId="77777777" w:rsidR="008F681B" w:rsidRDefault="008F681B" w:rsidP="008F681B">
      <w:pPr>
        <w:spacing w:line="240" w:lineRule="auto"/>
        <w:jc w:val="center"/>
        <w:rPr>
          <w:b/>
          <w:sz w:val="28"/>
          <w:szCs w:val="28"/>
        </w:rPr>
      </w:pPr>
    </w:p>
    <w:p w14:paraId="33BA5F13" w14:textId="77777777" w:rsidR="00032A95" w:rsidRPr="008F681B" w:rsidRDefault="00556233" w:rsidP="008E349D">
      <w:pPr>
        <w:spacing w:after="120" w:line="240" w:lineRule="auto"/>
        <w:jc w:val="center"/>
        <w:rPr>
          <w:b/>
          <w:sz w:val="28"/>
          <w:szCs w:val="28"/>
        </w:rPr>
      </w:pPr>
      <w:r w:rsidRPr="008F681B">
        <w:rPr>
          <w:b/>
          <w:sz w:val="28"/>
          <w:szCs w:val="28"/>
        </w:rPr>
        <w:t>A</w:t>
      </w:r>
      <w:r w:rsidR="008F681B">
        <w:rPr>
          <w:b/>
          <w:sz w:val="28"/>
          <w:szCs w:val="28"/>
        </w:rPr>
        <w:t xml:space="preserve"> </w:t>
      </w:r>
      <w:r w:rsidRPr="008F681B">
        <w:rPr>
          <w:b/>
          <w:sz w:val="28"/>
          <w:szCs w:val="28"/>
        </w:rPr>
        <w:t>N</w:t>
      </w:r>
      <w:r w:rsidR="008F681B">
        <w:rPr>
          <w:b/>
          <w:sz w:val="28"/>
          <w:szCs w:val="28"/>
        </w:rPr>
        <w:t xml:space="preserve"> </w:t>
      </w:r>
      <w:r w:rsidRPr="008F681B">
        <w:rPr>
          <w:b/>
          <w:sz w:val="28"/>
          <w:szCs w:val="28"/>
        </w:rPr>
        <w:t>T</w:t>
      </w:r>
      <w:r w:rsidR="008F681B">
        <w:rPr>
          <w:b/>
          <w:sz w:val="28"/>
          <w:szCs w:val="28"/>
        </w:rPr>
        <w:t xml:space="preserve"> </w:t>
      </w:r>
      <w:r w:rsidRPr="008F681B">
        <w:rPr>
          <w:b/>
          <w:sz w:val="28"/>
          <w:szCs w:val="28"/>
        </w:rPr>
        <w:t>R</w:t>
      </w:r>
      <w:r w:rsidR="008F681B">
        <w:rPr>
          <w:b/>
          <w:sz w:val="28"/>
          <w:szCs w:val="28"/>
        </w:rPr>
        <w:t xml:space="preserve"> </w:t>
      </w:r>
      <w:r w:rsidRPr="008F681B">
        <w:rPr>
          <w:b/>
          <w:sz w:val="28"/>
          <w:szCs w:val="28"/>
        </w:rPr>
        <w:t>A</w:t>
      </w:r>
      <w:r w:rsidR="008F681B">
        <w:rPr>
          <w:b/>
          <w:sz w:val="28"/>
          <w:szCs w:val="28"/>
        </w:rPr>
        <w:t xml:space="preserve"> </w:t>
      </w:r>
      <w:r w:rsidR="00032A95" w:rsidRPr="008F681B">
        <w:rPr>
          <w:b/>
          <w:sz w:val="28"/>
          <w:szCs w:val="28"/>
        </w:rPr>
        <w:t>G</w:t>
      </w:r>
    </w:p>
    <w:p w14:paraId="0FDE1826" w14:textId="2FECAB69" w:rsidR="008F681B" w:rsidRPr="00E515F0" w:rsidRDefault="008F681B" w:rsidP="008E349D">
      <w:pPr>
        <w:spacing w:after="120" w:line="240" w:lineRule="auto"/>
        <w:jc w:val="center"/>
        <w:rPr>
          <w:szCs w:val="24"/>
        </w:rPr>
      </w:pPr>
      <w:r w:rsidRPr="008E349D">
        <w:rPr>
          <w:szCs w:val="24"/>
        </w:rPr>
        <w:t xml:space="preserve">zu </w:t>
      </w:r>
      <w:r w:rsidRPr="00E515F0">
        <w:rPr>
          <w:szCs w:val="24"/>
        </w:rPr>
        <w:t xml:space="preserve">Drs. </w:t>
      </w:r>
      <w:r w:rsidR="00D47398" w:rsidRPr="00E515F0">
        <w:rPr>
          <w:szCs w:val="24"/>
        </w:rPr>
        <w:t>22</w:t>
      </w:r>
      <w:r w:rsidRPr="00E515F0">
        <w:rPr>
          <w:szCs w:val="24"/>
        </w:rPr>
        <w:t>/</w:t>
      </w:r>
      <w:r w:rsidR="00E515F0" w:rsidRPr="00E515F0">
        <w:rPr>
          <w:szCs w:val="24"/>
        </w:rPr>
        <w:t>7683</w:t>
      </w:r>
    </w:p>
    <w:p w14:paraId="7FA65C4B" w14:textId="41A6F189" w:rsidR="003E624D" w:rsidRPr="003E624D" w:rsidRDefault="008E349D" w:rsidP="008E349D">
      <w:pPr>
        <w:tabs>
          <w:tab w:val="left" w:pos="6488"/>
        </w:tabs>
        <w:spacing w:after="120"/>
        <w:jc w:val="both"/>
        <w:rPr>
          <w:b/>
          <w:szCs w:val="24"/>
        </w:rPr>
      </w:pPr>
      <w:r>
        <w:rPr>
          <w:b/>
          <w:szCs w:val="24"/>
        </w:rPr>
        <w:tab/>
      </w:r>
    </w:p>
    <w:p w14:paraId="1D09150C" w14:textId="5FED544F" w:rsidR="003E624D" w:rsidRPr="00B23A11" w:rsidRDefault="00B23A11" w:rsidP="008E349D">
      <w:pPr>
        <w:spacing w:after="120"/>
        <w:ind w:left="1077" w:hanging="1077"/>
        <w:rPr>
          <w:b/>
          <w:lang w:val="pt-BR"/>
        </w:rPr>
      </w:pPr>
      <w:r>
        <w:rPr>
          <w:b/>
          <w:lang w:val="pt-BR"/>
        </w:rPr>
        <w:t xml:space="preserve">der Abg. </w:t>
      </w:r>
      <w:r w:rsidR="00B34471">
        <w:rPr>
          <w:b/>
          <w:lang w:val="pt-BR"/>
        </w:rPr>
        <w:t xml:space="preserve">Dennis Thering, </w:t>
      </w:r>
      <w:r w:rsidR="0096353F">
        <w:rPr>
          <w:b/>
          <w:lang w:val="pt-BR"/>
        </w:rPr>
        <w:t>Dennis Gladiator, Stephan Gamm, Dr. Anke Frieling, Prof. Dr. Götz Wiese (C</w:t>
      </w:r>
      <w:r w:rsidR="003E624D" w:rsidRPr="00B23A11">
        <w:rPr>
          <w:b/>
          <w:lang w:val="pt-BR"/>
        </w:rPr>
        <w:t>DU) und Fraktion</w:t>
      </w:r>
    </w:p>
    <w:p w14:paraId="35F68449" w14:textId="77777777" w:rsidR="003E624D" w:rsidRPr="00B23A11" w:rsidRDefault="003E624D" w:rsidP="008E349D">
      <w:pPr>
        <w:spacing w:after="120"/>
        <w:ind w:left="1021" w:hanging="1021"/>
        <w:jc w:val="both"/>
        <w:rPr>
          <w:b/>
          <w:lang w:val="pt-BR"/>
        </w:rPr>
      </w:pPr>
    </w:p>
    <w:p w14:paraId="64934C9C" w14:textId="14DA7763" w:rsidR="004851E2" w:rsidRPr="00C0049C" w:rsidRDefault="00137B1C" w:rsidP="00E3721A">
      <w:pPr>
        <w:spacing w:after="120"/>
        <w:ind w:left="737" w:hanging="737"/>
        <w:jc w:val="both"/>
        <w:rPr>
          <w:b/>
          <w:lang w:val="pt-BR"/>
        </w:rPr>
      </w:pPr>
      <w:r w:rsidRPr="00B23A11">
        <w:rPr>
          <w:b/>
          <w:lang w:val="pt-BR"/>
        </w:rPr>
        <w:t>Betr.:</w:t>
      </w:r>
      <w:r w:rsidR="00832F25">
        <w:rPr>
          <w:b/>
          <w:lang w:val="pt-BR"/>
        </w:rPr>
        <w:t xml:space="preserve"> Fatale Fehlentscheidung der Ampel-Bundesregierung zur Corona-Pandemie korrigieren: Unverzügliche </w:t>
      </w:r>
      <w:r w:rsidR="00E515F0">
        <w:rPr>
          <w:b/>
          <w:lang w:val="pt-BR"/>
        </w:rPr>
        <w:t>Bundesratsinitiative zur Änderung des Infektionsschutzgesetzes</w:t>
      </w:r>
      <w:r w:rsidR="00832F25">
        <w:rPr>
          <w:b/>
          <w:lang w:val="pt-BR"/>
        </w:rPr>
        <w:t>!</w:t>
      </w:r>
    </w:p>
    <w:p w14:paraId="76C80627" w14:textId="75843A3F" w:rsidR="004E5E61" w:rsidRDefault="00081E5A" w:rsidP="004E5E61">
      <w:pPr>
        <w:spacing w:after="120"/>
        <w:jc w:val="both"/>
        <w:rPr>
          <w:rFonts w:cs="Arial"/>
          <w:szCs w:val="24"/>
          <w:shd w:val="clear" w:color="auto" w:fill="FFFFFF"/>
        </w:rPr>
      </w:pPr>
      <w:r w:rsidRPr="00603ABD">
        <w:rPr>
          <w:rFonts w:cs="Arial"/>
          <w:szCs w:val="24"/>
        </w:rPr>
        <w:t>Die Corona-Pandemie hält Deutschland und die Welt</w:t>
      </w:r>
      <w:r w:rsidR="00603ABD" w:rsidRPr="00603ABD">
        <w:rPr>
          <w:rFonts w:cs="Arial"/>
          <w:szCs w:val="24"/>
        </w:rPr>
        <w:t xml:space="preserve"> nunmehr</w:t>
      </w:r>
      <w:r w:rsidRPr="00603ABD">
        <w:rPr>
          <w:rFonts w:cs="Arial"/>
          <w:szCs w:val="24"/>
        </w:rPr>
        <w:t xml:space="preserve"> seit über zwei Jahren in Atem. </w:t>
      </w:r>
      <w:r w:rsidR="00603ABD" w:rsidRPr="00603ABD">
        <w:rPr>
          <w:rFonts w:cs="Arial"/>
          <w:szCs w:val="24"/>
        </w:rPr>
        <w:t xml:space="preserve">Laut </w:t>
      </w:r>
      <w:r w:rsidR="00603ABD" w:rsidRPr="00603ABD">
        <w:rPr>
          <w:rFonts w:cs="Arial"/>
          <w:szCs w:val="24"/>
          <w:shd w:val="clear" w:color="auto" w:fill="FFFFFF"/>
        </w:rPr>
        <w:t xml:space="preserve">Robert Koch-Institut (RKI) sind seit Ausbruch der Pandemie in Deutschland insgesamt 127.522 Todesfälle in Zusammenhang mit dem Virus zu verzeichnen gewesen (Stichtag 23. März 2022). Für Hamburg beläuft sich </w:t>
      </w:r>
      <w:r w:rsidR="00C02FEA">
        <w:rPr>
          <w:rFonts w:cs="Arial"/>
          <w:szCs w:val="24"/>
          <w:shd w:val="clear" w:color="auto" w:fill="FFFFFF"/>
        </w:rPr>
        <w:t xml:space="preserve">laut RKI </w:t>
      </w:r>
      <w:r w:rsidR="00603ABD" w:rsidRPr="00603ABD">
        <w:rPr>
          <w:rFonts w:cs="Arial"/>
          <w:szCs w:val="24"/>
          <w:shd w:val="clear" w:color="auto" w:fill="FFFFFF"/>
        </w:rPr>
        <w:t>die bestätigte Fallzahl der Erkrankungen auf 413.543, die Zahl der Todesopfer im Zusammenhang mit dem Virus beträgt 2.361</w:t>
      </w:r>
      <w:r w:rsidR="00603ABD">
        <w:rPr>
          <w:rFonts w:cs="Arial"/>
          <w:szCs w:val="24"/>
          <w:shd w:val="clear" w:color="auto" w:fill="FFFFFF"/>
        </w:rPr>
        <w:t xml:space="preserve"> (Stichtag jeweils </w:t>
      </w:r>
      <w:r w:rsidR="00603ABD" w:rsidRPr="00603ABD">
        <w:rPr>
          <w:rFonts w:cs="Arial"/>
          <w:szCs w:val="24"/>
          <w:shd w:val="clear" w:color="auto" w:fill="FFFFFF"/>
        </w:rPr>
        <w:t>24. März 2022</w:t>
      </w:r>
      <w:r w:rsidR="00603ABD">
        <w:rPr>
          <w:rFonts w:cs="Arial"/>
          <w:szCs w:val="24"/>
          <w:shd w:val="clear" w:color="auto" w:fill="FFFFFF"/>
        </w:rPr>
        <w:t>)</w:t>
      </w:r>
      <w:r w:rsidR="00603ABD" w:rsidRPr="00603ABD">
        <w:rPr>
          <w:rFonts w:cs="Arial"/>
          <w:szCs w:val="24"/>
          <w:shd w:val="clear" w:color="auto" w:fill="FFFFFF"/>
        </w:rPr>
        <w:t>.</w:t>
      </w:r>
      <w:r w:rsidR="00603ABD">
        <w:rPr>
          <w:rFonts w:cs="Arial"/>
          <w:szCs w:val="24"/>
          <w:shd w:val="clear" w:color="auto" w:fill="FFFFFF"/>
        </w:rPr>
        <w:t xml:space="preserve"> Verschiedene Varianten des Virus mit unterschiedlicher Infektiosität, Letalität und Verläufen haben </w:t>
      </w:r>
      <w:r w:rsidR="004E5E61">
        <w:rPr>
          <w:rFonts w:cs="Arial"/>
          <w:szCs w:val="24"/>
          <w:shd w:val="clear" w:color="auto" w:fill="FFFFFF"/>
        </w:rPr>
        <w:t>die Pandemie bestimmt und immer wieder neue und veränderte Eindämmungsmaßnahmen notwendig gemacht. Und die Pandemie ist auch heute, unabhängig von allen Beschlüssen der Ampel-Bundesregierung, leider noch nicht vorbei – ganz im Gegenteil.</w:t>
      </w:r>
    </w:p>
    <w:p w14:paraId="05ED6EAB" w14:textId="77777777" w:rsidR="004E5E61" w:rsidRDefault="004E5E61" w:rsidP="004E5E61">
      <w:pPr>
        <w:spacing w:after="120"/>
        <w:jc w:val="both"/>
        <w:rPr>
          <w:rFonts w:cs="Arial"/>
          <w:szCs w:val="24"/>
        </w:rPr>
      </w:pPr>
    </w:p>
    <w:p w14:paraId="7376328C" w14:textId="58887495" w:rsidR="00081E5A" w:rsidRPr="004E5E61" w:rsidRDefault="00081E5A" w:rsidP="004E5E61">
      <w:pPr>
        <w:spacing w:after="120"/>
        <w:jc w:val="both"/>
        <w:rPr>
          <w:rFonts w:cs="Arial"/>
          <w:szCs w:val="24"/>
        </w:rPr>
      </w:pPr>
      <w:r w:rsidRPr="00603ABD">
        <w:rPr>
          <w:rFonts w:cs="Arial"/>
          <w:szCs w:val="24"/>
        </w:rPr>
        <w:t>Für Hamburg</w:t>
      </w:r>
      <w:r w:rsidRPr="00603ABD">
        <w:rPr>
          <w:szCs w:val="24"/>
        </w:rPr>
        <w:t xml:space="preserve"> </w:t>
      </w:r>
      <w:r w:rsidRPr="00081E5A">
        <w:rPr>
          <w:szCs w:val="24"/>
        </w:rPr>
        <w:t>kommt der Senat in seinem a</w:t>
      </w:r>
      <w:r w:rsidRPr="00081E5A">
        <w:rPr>
          <w:bCs/>
          <w:szCs w:val="24"/>
        </w:rPr>
        <w:t>ktuellen Bericht über die epidemische Ausbreitung der Coronavirus-Krankheit-2019 (COVID-19) vom 25, März 2022 zu folgender Feststellung: „</w:t>
      </w:r>
      <w:r w:rsidRPr="00081E5A">
        <w:rPr>
          <w:szCs w:val="24"/>
        </w:rPr>
        <w:t>Die aktuelle infektionsepidemiologische Lage in der Freien u</w:t>
      </w:r>
      <w:r w:rsidRPr="00081E5A">
        <w:t>nd Hansestadt ist durch eine er</w:t>
      </w:r>
      <w:r w:rsidRPr="00081E5A">
        <w:rPr>
          <w:szCs w:val="24"/>
        </w:rPr>
        <w:t>hebliche und steigende Auslastung der medizinischen Versorgungskapazitäten, durch eine sehr hohe und steigende Anzahl von Neuinfektionen, die Dominanz der besorgniserregenden Virusvariante B.1.1.529 (Omikron) sowie durch einen bereit</w:t>
      </w:r>
      <w:r>
        <w:t>s hohen, aber noch nicht hinrei</w:t>
      </w:r>
      <w:r w:rsidRPr="00081E5A">
        <w:rPr>
          <w:szCs w:val="24"/>
        </w:rPr>
        <w:t>chenden Immunisierungsgrad der Bevölkerung durch Impfungen geprägt.“</w:t>
      </w:r>
      <w:r>
        <w:t xml:space="preserve"> </w:t>
      </w:r>
    </w:p>
    <w:p w14:paraId="42A4E456" w14:textId="77777777" w:rsidR="004E5E61" w:rsidRDefault="004E5E61" w:rsidP="004E5E61">
      <w:pPr>
        <w:pStyle w:val="Default"/>
        <w:spacing w:line="360" w:lineRule="auto"/>
      </w:pPr>
    </w:p>
    <w:p w14:paraId="1EB5720A" w14:textId="487B70D8" w:rsidR="004E5E61" w:rsidRDefault="00081E5A" w:rsidP="004E5E61">
      <w:pPr>
        <w:pStyle w:val="Default"/>
        <w:spacing w:line="360" w:lineRule="auto"/>
      </w:pPr>
      <w:r w:rsidRPr="00081E5A">
        <w:lastRenderedPageBreak/>
        <w:t>Und zur Lage in den Hamburger Krankenhäusern wird Folgendes festgestellt: „Es besteht die konkrete Gefahr, dass bei einer weiteren Zunahme der Anzahl infizierter Mitarbeitender in den Krankenhäusern in der Freien und Hansestadt Hamburg ein medizinischer Versorgungsengpass auftritt, der nicht mehr kompensiert werden kann. Nach den bisherigen Erfahrungen in der Pandemie ist hiermit im Fall weiter steigender Inzidenzen zu rechnen. Der jüngste Verlauf der 7-Tage-Inzidenz in Hamburg lässt nach den bisherigen Erkenntnissen darauf schließen, dass die Zahlen zu den Hospitalisierungen auch in den kommenden Wochen weiter steigen werden. Denn der Verlauf der 7-Tage-Inzidenz in Hamburg ist seit Anfang März stark gestiegen und liegt auf einem außerordentlich hohen Niveau.“</w:t>
      </w:r>
    </w:p>
    <w:p w14:paraId="2F40153C" w14:textId="77777777" w:rsidR="004E5E61" w:rsidRDefault="004E5E61" w:rsidP="004E5E61">
      <w:pPr>
        <w:pStyle w:val="Default"/>
        <w:spacing w:line="360" w:lineRule="auto"/>
      </w:pPr>
    </w:p>
    <w:p w14:paraId="6629C9AC" w14:textId="4948FA1E" w:rsidR="00C02FEA" w:rsidRDefault="004E5E61" w:rsidP="004E5E61">
      <w:pPr>
        <w:pStyle w:val="Default"/>
        <w:spacing w:line="360" w:lineRule="auto"/>
      </w:pPr>
      <w:r>
        <w:t xml:space="preserve">In anderen Bundesländern und Kommunen ist die Lage nicht minder angespannt und die Infektionszahlen und Krankenhausinzidenzen </w:t>
      </w:r>
      <w:r w:rsidR="001F3EDC">
        <w:t xml:space="preserve">sind </w:t>
      </w:r>
      <w:r>
        <w:t>auf hohem Niveau. Es ist daher unverständlich, dass die Ampel-Bun</w:t>
      </w:r>
      <w:r w:rsidR="001F3EDC">
        <w:t xml:space="preserve">desregierung sich in dieser Situation auf eine </w:t>
      </w:r>
      <w:proofErr w:type="spellStart"/>
      <w:r w:rsidR="001F3EDC">
        <w:t>weitestgehend</w:t>
      </w:r>
      <w:r w:rsidR="00C02FEA">
        <w:t>e</w:t>
      </w:r>
      <w:proofErr w:type="spellEnd"/>
      <w:r w:rsidR="001F3EDC">
        <w:t xml:space="preserve"> Abschaffung aller Corona-Schutzmaßnahmen verständigt hat. Selbst niedrigschwellige Schutzmaßnahmen mit geringer Eingriffstiefe in die persönliche Freiheit, wie das Tragen von Schutzmasken beim Einkaufen in Innenräumen</w:t>
      </w:r>
      <w:r w:rsidR="00183D0A">
        <w:t xml:space="preserve">, werden spätestens zum 2. April 2022, einschließlich Übergangsfrist, </w:t>
      </w:r>
      <w:r w:rsidR="001F3EDC">
        <w:t xml:space="preserve">abgeschafft. </w:t>
      </w:r>
      <w:r w:rsidR="00C02FEA">
        <w:t xml:space="preserve">Die Kritik aus allen 16 Bundesländern und </w:t>
      </w:r>
      <w:r w:rsidR="00422C36">
        <w:t>dem</w:t>
      </w:r>
      <w:r w:rsidR="00C02FEA">
        <w:t xml:space="preserve"> Experten</w:t>
      </w:r>
      <w:r w:rsidR="00422C36">
        <w:t>rat der Bundesregierung</w:t>
      </w:r>
      <w:r w:rsidR="00C02FEA">
        <w:t xml:space="preserve"> war daher wenig überraschend und nachvollziehbar. </w:t>
      </w:r>
    </w:p>
    <w:p w14:paraId="3EEC4698" w14:textId="77777777" w:rsidR="00C02FEA" w:rsidRDefault="00C02FEA" w:rsidP="004E5E61">
      <w:pPr>
        <w:pStyle w:val="Default"/>
        <w:spacing w:line="360" w:lineRule="auto"/>
      </w:pPr>
    </w:p>
    <w:p w14:paraId="4759986B" w14:textId="4F58CB20" w:rsidR="00081E5A" w:rsidRDefault="001F3EDC" w:rsidP="004E5E61">
      <w:pPr>
        <w:pStyle w:val="Default"/>
        <w:spacing w:line="360" w:lineRule="auto"/>
      </w:pPr>
      <w:r>
        <w:t>Ausschließlich über die sogenannte Hotspot-Regelung</w:t>
      </w:r>
      <w:r w:rsidR="00C02FEA">
        <w:t xml:space="preserve">, bei der </w:t>
      </w:r>
      <w:r>
        <w:t>von den jeweiligen Landesparlamenten</w:t>
      </w:r>
      <w:r w:rsidR="00C02FEA">
        <w:t xml:space="preserve"> die konkrete Gefahr einer sich dynamisch ausbreitenden Infektionslage</w:t>
      </w:r>
      <w:r>
        <w:t xml:space="preserve"> festgestellt werden muss, sollen Bundesländer die Möglichkeit für die Fortsetzung auch geringer Schut</w:t>
      </w:r>
      <w:r w:rsidR="00C02FEA">
        <w:t xml:space="preserve">zmaßnahmen bekommen. </w:t>
      </w:r>
      <w:r>
        <w:t xml:space="preserve">Bundesjustizminister Buschmann hat jedoch schnell </w:t>
      </w:r>
      <w:proofErr w:type="gramStart"/>
      <w:r>
        <w:t>klar gemacht</w:t>
      </w:r>
      <w:proofErr w:type="gramEnd"/>
      <w:r>
        <w:t>, dass diese Hotspot-Regelung eine absolute Ausnahme darstellen und eine landesweite Hotspot-Regelung nur bei einer landeweiten Notlage beschlossen werden können soll.</w:t>
      </w:r>
      <w:r w:rsidR="00C02FEA">
        <w:t xml:space="preserve"> Die Botschaft der Bundesregierung ist eine andere: SPD, Grüne und FDP wollen einen „Freedom-Day“ feiern.</w:t>
      </w:r>
    </w:p>
    <w:p w14:paraId="2EE24090" w14:textId="28EA2114" w:rsidR="001F3EDC" w:rsidRDefault="001F3EDC" w:rsidP="004E5E61">
      <w:pPr>
        <w:pStyle w:val="Default"/>
        <w:spacing w:line="360" w:lineRule="auto"/>
      </w:pPr>
    </w:p>
    <w:p w14:paraId="408D5451" w14:textId="1DE95455" w:rsidR="0028695A" w:rsidRDefault="002B600F" w:rsidP="002B600F">
      <w:pPr>
        <w:pStyle w:val="Default"/>
        <w:spacing w:line="360" w:lineRule="auto"/>
      </w:pPr>
      <w:r>
        <w:t>Die Ampel-Bundesregierung hat mit ihrer Entscheidung, die Pandemie im Wesentlichen für beendet zu erklären und den Bundesländern wichtige Eingriffsrechte zu nehmen, eine fatale Fehlentscheidung getroffen und wird ihrer Verantwortung damit nicht gerecht. Nun sollen Landesparlamente gezwungen sein, Hotspots festzustellen, um überhaupt</w:t>
      </w:r>
      <w:r w:rsidR="00B71ECE">
        <w:t xml:space="preserve"> Basisschutzm</w:t>
      </w:r>
      <w:r>
        <w:t>aßnahmen wie die Maskenpflicht anordnen zu können.</w:t>
      </w:r>
      <w:r w:rsidR="00105C99">
        <w:t xml:space="preserve"> Diese stehen dann jedoch </w:t>
      </w:r>
      <w:r w:rsidR="00105C99">
        <w:lastRenderedPageBreak/>
        <w:t xml:space="preserve">auf rechtlich äußerst wackeligen Beinen. Klagen von Mitgliedern der regierungstragenden Fraktionen sind bereits angekündigt. </w:t>
      </w:r>
      <w:r>
        <w:t>Da</w:t>
      </w:r>
      <w:r w:rsidR="0028695A">
        <w:t xml:space="preserve">mit machen </w:t>
      </w:r>
      <w:r w:rsidR="00B71ECE">
        <w:t xml:space="preserve">es sich </w:t>
      </w:r>
      <w:r>
        <w:t xml:space="preserve">SPD, Grüne und FDP im Bund </w:t>
      </w:r>
      <w:r w:rsidR="0028695A">
        <w:t xml:space="preserve">viel zu einfach. Wer schon die eigene Verantwortung nicht annehmen möchte, muss den Bundesländern dann wenigstens den rechtlichen Rahmen zum Handeln geben. </w:t>
      </w:r>
    </w:p>
    <w:p w14:paraId="5C772B12" w14:textId="77777777" w:rsidR="0028695A" w:rsidRDefault="0028695A" w:rsidP="002B600F">
      <w:pPr>
        <w:pStyle w:val="Default"/>
        <w:spacing w:line="360" w:lineRule="auto"/>
      </w:pPr>
    </w:p>
    <w:p w14:paraId="18B5E524" w14:textId="584DB88A" w:rsidR="00081E5A" w:rsidRDefault="0028695A" w:rsidP="002B600F">
      <w:pPr>
        <w:pStyle w:val="Default"/>
        <w:spacing w:line="360" w:lineRule="auto"/>
      </w:pPr>
      <w:r>
        <w:t>Noch besser und der Lage angemessen wären jedoch zeitlich befristete Verlängerungen einiger wichtiger</w:t>
      </w:r>
      <w:r w:rsidR="00B71ECE">
        <w:t xml:space="preserve"> Basisschutzm</w:t>
      </w:r>
      <w:r>
        <w:t xml:space="preserve">aßnahmen, um </w:t>
      </w:r>
      <w:r w:rsidR="00FE404E">
        <w:t>die Überlastung des Gesundheitssystems</w:t>
      </w:r>
      <w:r>
        <w:t xml:space="preserve"> </w:t>
      </w:r>
      <w:r w:rsidR="00FE404E">
        <w:t xml:space="preserve">und den Ausfall der (kritischen) Infrastruktur </w:t>
      </w:r>
      <w:r>
        <w:t>zu verhindern – und zwar bundesweit einheitlich. In jedem Bundesland einzeln</w:t>
      </w:r>
      <w:r w:rsidR="00251D69">
        <w:t xml:space="preserve"> und rechtlich fragwürdig</w:t>
      </w:r>
      <w:r w:rsidR="00C02FEA">
        <w:t xml:space="preserve"> an den Auswirkungen der Ampel-Fehlentscheidung</w:t>
      </w:r>
      <w:r>
        <w:t xml:space="preserve"> herumzudoktern, ist nicht der beste Weg. Stattdessen müssen die senats- und bundesregierungstragenden Fraktionen </w:t>
      </w:r>
      <w:bookmarkStart w:id="0" w:name="_GoBack"/>
      <w:bookmarkEnd w:id="0"/>
      <w:r>
        <w:t xml:space="preserve">das Infektionsschutzgesetz zügig auf Bundesebene anpassen. </w:t>
      </w:r>
    </w:p>
    <w:p w14:paraId="1E42B7D3" w14:textId="77777777" w:rsidR="0040568C" w:rsidRPr="00CD5695" w:rsidRDefault="0040568C" w:rsidP="008E349D">
      <w:pPr>
        <w:spacing w:after="120"/>
        <w:jc w:val="both"/>
      </w:pPr>
    </w:p>
    <w:p w14:paraId="1DA5B0A4" w14:textId="77777777" w:rsidR="001B4FBF" w:rsidRDefault="001B4FBF" w:rsidP="008E349D">
      <w:pPr>
        <w:spacing w:after="120"/>
        <w:jc w:val="both"/>
        <w:rPr>
          <w:b/>
        </w:rPr>
      </w:pPr>
      <w:r w:rsidRPr="001B4FBF">
        <w:rPr>
          <w:b/>
        </w:rPr>
        <w:t>Die Bürgerschaft</w:t>
      </w:r>
      <w:r w:rsidR="00E65471">
        <w:rPr>
          <w:b/>
        </w:rPr>
        <w:t xml:space="preserve"> möge</w:t>
      </w:r>
      <w:r w:rsidRPr="001B4FBF">
        <w:rPr>
          <w:b/>
        </w:rPr>
        <w:t xml:space="preserve"> </w:t>
      </w:r>
      <w:r w:rsidR="001C10AC">
        <w:rPr>
          <w:b/>
        </w:rPr>
        <w:t xml:space="preserve">beschließen: </w:t>
      </w:r>
    </w:p>
    <w:p w14:paraId="78763DCB" w14:textId="1C8AF518" w:rsidR="001C10AC" w:rsidRDefault="001C10AC" w:rsidP="008E349D">
      <w:pPr>
        <w:spacing w:after="120"/>
        <w:jc w:val="both"/>
        <w:rPr>
          <w:b/>
        </w:rPr>
      </w:pPr>
      <w:r>
        <w:rPr>
          <w:b/>
        </w:rPr>
        <w:t xml:space="preserve">Der Senat wird ersucht, </w:t>
      </w:r>
    </w:p>
    <w:p w14:paraId="29664C48" w14:textId="423FC0EC" w:rsidR="0009103A" w:rsidRPr="0009103A" w:rsidRDefault="00E515F0" w:rsidP="0009103A">
      <w:pPr>
        <w:pStyle w:val="Listenabsatz"/>
        <w:numPr>
          <w:ilvl w:val="0"/>
          <w:numId w:val="9"/>
        </w:numPr>
        <w:spacing w:after="120"/>
        <w:ind w:left="426" w:hanging="426"/>
        <w:contextualSpacing w:val="0"/>
        <w:jc w:val="both"/>
      </w:pPr>
      <w:r>
        <w:t>sich im Bundesrat</w:t>
      </w:r>
      <w:r w:rsidR="00081E5A">
        <w:t xml:space="preserve"> und auf Bundesebene</w:t>
      </w:r>
      <w:r>
        <w:t xml:space="preserve"> dafür einzusetzen, dass das Infektionsschutzgesetz (</w:t>
      </w:r>
      <w:proofErr w:type="spellStart"/>
      <w:r w:rsidRPr="00FE2EA2">
        <w:rPr>
          <w:rFonts w:cs="Arial"/>
        </w:rPr>
        <w:t>lfSG</w:t>
      </w:r>
      <w:proofErr w:type="spellEnd"/>
      <w:r>
        <w:rPr>
          <w:rFonts w:cs="Arial"/>
        </w:rPr>
        <w:t xml:space="preserve">) dahingehend geändert wird, dass bundesweit einheitlich </w:t>
      </w:r>
      <w:r w:rsidR="0009103A">
        <w:rPr>
          <w:rFonts w:cs="Arial"/>
        </w:rPr>
        <w:t>bis mindestens zum 30. April 2022</w:t>
      </w:r>
    </w:p>
    <w:p w14:paraId="5EB57383" w14:textId="0A4A7861" w:rsidR="0009103A" w:rsidRPr="0009103A" w:rsidRDefault="0009103A" w:rsidP="0009103A">
      <w:pPr>
        <w:pStyle w:val="Listenabsatz"/>
        <w:numPr>
          <w:ilvl w:val="1"/>
          <w:numId w:val="9"/>
        </w:numPr>
        <w:spacing w:after="120"/>
        <w:contextualSpacing w:val="0"/>
        <w:jc w:val="both"/>
      </w:pPr>
      <w:r w:rsidRPr="0009103A">
        <w:rPr>
          <w:rFonts w:cs="Arial"/>
        </w:rPr>
        <w:t>die Verpflichtung zum Tragen einer Atemschutzmaske (FFP2 oder vergleichbar) oder einer medizinischen Gesichtsmaske (Mund-Nasen-Schutz)</w:t>
      </w:r>
      <w:r>
        <w:rPr>
          <w:rFonts w:cs="Arial"/>
        </w:rPr>
        <w:t xml:space="preserve"> </w:t>
      </w:r>
      <w:r w:rsidR="00835C61">
        <w:rPr>
          <w:rFonts w:cs="Arial"/>
        </w:rPr>
        <w:t xml:space="preserve">entsprechend der in Hamburg derzeit bestehenden Regelungen, insbesondere in Innenräumen, </w:t>
      </w:r>
      <w:r w:rsidR="00AB33E2">
        <w:rPr>
          <w:rFonts w:cs="Arial"/>
        </w:rPr>
        <w:t>geregelt</w:t>
      </w:r>
      <w:r>
        <w:rPr>
          <w:rFonts w:cs="Arial"/>
        </w:rPr>
        <w:t xml:space="preserve"> wird</w:t>
      </w:r>
      <w:r w:rsidRPr="0009103A">
        <w:rPr>
          <w:rFonts w:cs="Arial"/>
        </w:rPr>
        <w:t xml:space="preserve">, </w:t>
      </w:r>
    </w:p>
    <w:p w14:paraId="7DF63776" w14:textId="3C5704EF" w:rsidR="0009103A" w:rsidRDefault="0009103A" w:rsidP="0009103A">
      <w:pPr>
        <w:pStyle w:val="Listenabsatz"/>
        <w:numPr>
          <w:ilvl w:val="1"/>
          <w:numId w:val="9"/>
        </w:numPr>
        <w:spacing w:after="240" w:line="312" w:lineRule="auto"/>
        <w:contextualSpacing w:val="0"/>
        <w:rPr>
          <w:rFonts w:cs="Arial"/>
        </w:rPr>
      </w:pPr>
      <w:r w:rsidRPr="00FE2EA2">
        <w:rPr>
          <w:rFonts w:cs="Arial"/>
        </w:rPr>
        <w:t>die Verpflichtung zur Vorlage eines Impf-, Genesenen- oder Testnachweises nach § 22a Absatz 1 bis 3</w:t>
      </w:r>
      <w:r w:rsidR="0046134C">
        <w:rPr>
          <w:rFonts w:cs="Arial"/>
        </w:rPr>
        <w:t xml:space="preserve"> </w:t>
      </w:r>
      <w:proofErr w:type="spellStart"/>
      <w:r w:rsidR="0046134C" w:rsidRPr="00FE2EA2">
        <w:rPr>
          <w:rFonts w:cs="Arial"/>
        </w:rPr>
        <w:t>lfSG</w:t>
      </w:r>
      <w:proofErr w:type="spellEnd"/>
      <w:r w:rsidRPr="00FE2EA2">
        <w:rPr>
          <w:rFonts w:cs="Arial"/>
        </w:rPr>
        <w:t xml:space="preserve"> einschließlich der Vorlage eines amtlichen Lichtbildausweises in Einrichtungen und Unternehmen nach § 23 Absatz 3 Satz 1 </w:t>
      </w:r>
      <w:proofErr w:type="spellStart"/>
      <w:r w:rsidR="0046134C" w:rsidRPr="00FE2EA2">
        <w:rPr>
          <w:rFonts w:cs="Arial"/>
        </w:rPr>
        <w:t>lfSG</w:t>
      </w:r>
      <w:proofErr w:type="spellEnd"/>
      <w:r w:rsidR="0046134C" w:rsidRPr="00FE2EA2">
        <w:rPr>
          <w:rFonts w:cs="Arial"/>
        </w:rPr>
        <w:t xml:space="preserve"> </w:t>
      </w:r>
      <w:r w:rsidRPr="00FE2EA2">
        <w:rPr>
          <w:rFonts w:cs="Arial"/>
        </w:rPr>
        <w:t xml:space="preserve">und § 36 Absatz 1 </w:t>
      </w:r>
      <w:proofErr w:type="spellStart"/>
      <w:r w:rsidR="0046134C" w:rsidRPr="00FE2EA2">
        <w:rPr>
          <w:rFonts w:cs="Arial"/>
        </w:rPr>
        <w:t>lfSG</w:t>
      </w:r>
      <w:proofErr w:type="spellEnd"/>
      <w:r w:rsidR="0046134C" w:rsidRPr="00FE2EA2">
        <w:rPr>
          <w:rFonts w:cs="Arial"/>
        </w:rPr>
        <w:t xml:space="preserve"> </w:t>
      </w:r>
      <w:r w:rsidRPr="00FE2EA2">
        <w:rPr>
          <w:rFonts w:cs="Arial"/>
        </w:rPr>
        <w:t>sowie bei Veranstaltungen und in Betrieben, in denen Tanzlustbarkeiten angeboten werden,</w:t>
      </w:r>
      <w:r w:rsidR="00451F23">
        <w:rPr>
          <w:rFonts w:cs="Arial"/>
        </w:rPr>
        <w:t xml:space="preserve"> festgeschrieben</w:t>
      </w:r>
      <w:r>
        <w:rPr>
          <w:rFonts w:cs="Arial"/>
        </w:rPr>
        <w:t xml:space="preserve"> wird,</w:t>
      </w:r>
    </w:p>
    <w:p w14:paraId="41E82C28" w14:textId="537D082C" w:rsidR="00462697" w:rsidRPr="00462697" w:rsidRDefault="00462697" w:rsidP="008E349D">
      <w:pPr>
        <w:pStyle w:val="Listenabsatz"/>
        <w:numPr>
          <w:ilvl w:val="0"/>
          <w:numId w:val="9"/>
        </w:numPr>
        <w:spacing w:after="120"/>
        <w:ind w:left="426" w:hanging="426"/>
        <w:contextualSpacing w:val="0"/>
        <w:jc w:val="both"/>
      </w:pPr>
      <w:r>
        <w:t xml:space="preserve">der Bürgerschaft </w:t>
      </w:r>
      <w:r w:rsidR="00111817">
        <w:t xml:space="preserve">bis </w:t>
      </w:r>
      <w:r w:rsidR="008F5B1D">
        <w:t xml:space="preserve">zum </w:t>
      </w:r>
      <w:r w:rsidR="0007401D">
        <w:t>13</w:t>
      </w:r>
      <w:r w:rsidR="008F5B1D">
        <w:t xml:space="preserve">. </w:t>
      </w:r>
      <w:r w:rsidR="00E515F0">
        <w:t>April</w:t>
      </w:r>
      <w:r>
        <w:t xml:space="preserve"> </w:t>
      </w:r>
      <w:r w:rsidR="00584853">
        <w:t>2022</w:t>
      </w:r>
      <w:r w:rsidRPr="00462697">
        <w:t xml:space="preserve"> zu berichten</w:t>
      </w:r>
      <w:r>
        <w:t>.</w:t>
      </w:r>
    </w:p>
    <w:sectPr w:rsidR="00462697" w:rsidRPr="00462697">
      <w:headerReference w:type="even" r:id="rId8"/>
      <w:headerReference w:type="default" r:id="rId9"/>
      <w:headerReference w:type="first" r:id="rId10"/>
      <w:pgSz w:w="11907" w:h="16840" w:code="9"/>
      <w:pgMar w:top="1134" w:right="1134" w:bottom="1134" w:left="1134" w:header="56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D2341" w14:textId="77777777" w:rsidR="000E2BEC" w:rsidRDefault="000E2BEC">
      <w:r>
        <w:separator/>
      </w:r>
    </w:p>
  </w:endnote>
  <w:endnote w:type="continuationSeparator" w:id="0">
    <w:p w14:paraId="276438F2" w14:textId="77777777" w:rsidR="000E2BEC" w:rsidRDefault="000E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FED14" w14:textId="77777777" w:rsidR="000E2BEC" w:rsidRDefault="000E2BEC">
      <w:r>
        <w:separator/>
      </w:r>
    </w:p>
  </w:footnote>
  <w:footnote w:type="continuationSeparator" w:id="0">
    <w:p w14:paraId="70A78E76" w14:textId="77777777" w:rsidR="000E2BEC" w:rsidRDefault="000E2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F210E" w14:textId="77777777" w:rsidR="00940FA5" w:rsidRDefault="00940FA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533EEB9" w14:textId="77777777" w:rsidR="00940FA5" w:rsidRDefault="00940F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A48B4" w14:textId="77777777" w:rsidR="00940FA5" w:rsidRDefault="00940FA5">
    <w:pPr>
      <w:pStyle w:val="Kopfzeile"/>
      <w:framePr w:wrap="around" w:vAnchor="text" w:hAnchor="margin" w:xAlign="center" w:y="1"/>
      <w:rPr>
        <w:rStyle w:val="Seitenzahl"/>
      </w:rPr>
    </w:pPr>
  </w:p>
  <w:p w14:paraId="0B340FFD" w14:textId="77777777" w:rsidR="00940FA5" w:rsidRDefault="00940FA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4F0E9" w14:textId="77777777" w:rsidR="00940FA5" w:rsidRDefault="00940FA5">
    <w:pPr>
      <w:pStyle w:val="Kopfzeile"/>
      <w:spacing w:line="240" w:lineRule="auto"/>
      <w:rPr>
        <w:b/>
        <w:sz w:val="28"/>
      </w:rPr>
    </w:pPr>
    <w:r>
      <w:rPr>
        <w:b/>
        <w:sz w:val="28"/>
      </w:rPr>
      <w:t>BÜRGERSCHAFT</w:t>
    </w:r>
  </w:p>
  <w:p w14:paraId="11AB03EC" w14:textId="77777777" w:rsidR="00940FA5" w:rsidRDefault="00940FA5">
    <w:pPr>
      <w:pStyle w:val="Kopfzeile"/>
      <w:spacing w:line="240" w:lineRule="auto"/>
      <w:rPr>
        <w:b/>
      </w:rPr>
    </w:pPr>
    <w:r>
      <w:rPr>
        <w:b/>
        <w:sz w:val="28"/>
      </w:rPr>
      <w:t>DER FREIEN UND HANSESTADT HAMBURG</w:t>
    </w:r>
    <w:r>
      <w:rPr>
        <w:b/>
        <w:sz w:val="28"/>
      </w:rPr>
      <w:tab/>
    </w:r>
    <w:r>
      <w:t>Drucksache</w:t>
    </w:r>
    <w:r>
      <w:rPr>
        <w:b/>
      </w:rPr>
      <w:t xml:space="preserve"> </w:t>
    </w:r>
    <w:r w:rsidR="00D47398">
      <w:rPr>
        <w:b/>
        <w:sz w:val="28"/>
      </w:rPr>
      <w:t>22</w:t>
    </w:r>
    <w:r>
      <w:rPr>
        <w:b/>
        <w:sz w:val="28"/>
      </w:rPr>
      <w:t>/</w:t>
    </w:r>
  </w:p>
  <w:p w14:paraId="68C23026" w14:textId="77777777" w:rsidR="00940FA5" w:rsidRDefault="00D47398">
    <w:pPr>
      <w:pStyle w:val="Kopfzeile"/>
      <w:spacing w:line="240" w:lineRule="auto"/>
      <w:rPr>
        <w:b/>
      </w:rPr>
    </w:pPr>
    <w:r>
      <w:rPr>
        <w:b/>
      </w:rPr>
      <w:t>22</w:t>
    </w:r>
    <w:r w:rsidR="00940FA5">
      <w:rPr>
        <w:b/>
      </w:rPr>
      <w:t>. Wahlperiode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17E"/>
    <w:multiLevelType w:val="hybridMultilevel"/>
    <w:tmpl w:val="BB14851C"/>
    <w:lvl w:ilvl="0" w:tplc="0407000F">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07A57623"/>
    <w:multiLevelType w:val="hybridMultilevel"/>
    <w:tmpl w:val="13029FE6"/>
    <w:lvl w:ilvl="0" w:tplc="4538D7BE">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 w15:restartNumberingAfterBreak="0">
    <w:nsid w:val="1A961658"/>
    <w:multiLevelType w:val="hybridMultilevel"/>
    <w:tmpl w:val="C2A27516"/>
    <w:lvl w:ilvl="0" w:tplc="2ABE3710">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B27159"/>
    <w:multiLevelType w:val="hybridMultilevel"/>
    <w:tmpl w:val="48AE8A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26E0E63"/>
    <w:multiLevelType w:val="hybridMultilevel"/>
    <w:tmpl w:val="A0A2CDCE"/>
    <w:lvl w:ilvl="0" w:tplc="ACF22DE4">
      <w:start w:val="1"/>
      <w:numFmt w:val="lowerLetter"/>
      <w:lvlText w:val="%1)"/>
      <w:lvlJc w:val="left"/>
      <w:pPr>
        <w:ind w:left="1080" w:hanging="360"/>
      </w:pPr>
      <w:rPr>
        <w:rFonts w:ascii="Arial" w:hAnsi="Arial" w:cs="Arial" w:hint="default"/>
      </w:rPr>
    </w:lvl>
    <w:lvl w:ilvl="1" w:tplc="DABE6654">
      <w:start w:val="1"/>
      <w:numFmt w:val="decimal"/>
      <w:lvlText w:val="%2."/>
      <w:lvlJc w:val="left"/>
      <w:pPr>
        <w:ind w:left="1800" w:hanging="360"/>
      </w:pPr>
      <w:rPr>
        <w:rFonts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25097E9E"/>
    <w:multiLevelType w:val="hybridMultilevel"/>
    <w:tmpl w:val="91DE5C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0B93D73"/>
    <w:multiLevelType w:val="hybridMultilevel"/>
    <w:tmpl w:val="6AC47D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68A6971"/>
    <w:multiLevelType w:val="hybridMultilevel"/>
    <w:tmpl w:val="1074A79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B6873CD"/>
    <w:multiLevelType w:val="hybridMultilevel"/>
    <w:tmpl w:val="054808BC"/>
    <w:lvl w:ilvl="0" w:tplc="824C0082">
      <w:start w:val="1"/>
      <w:numFmt w:val="decimal"/>
      <w:lvlText w:val="%1."/>
      <w:lvlJc w:val="left"/>
      <w:pPr>
        <w:ind w:left="1065" w:hanging="705"/>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30E6126"/>
    <w:multiLevelType w:val="hybridMultilevel"/>
    <w:tmpl w:val="0B2ABBE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9"/>
  </w:num>
  <w:num w:numId="4">
    <w:abstractNumId w:val="6"/>
  </w:num>
  <w:num w:numId="5">
    <w:abstractNumId w:val="0"/>
  </w:num>
  <w:num w:numId="6">
    <w:abstractNumId w:val="3"/>
  </w:num>
  <w:num w:numId="7">
    <w:abstractNumId w:val="5"/>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1C"/>
    <w:rsid w:val="000005F9"/>
    <w:rsid w:val="00003CFC"/>
    <w:rsid w:val="00005FC5"/>
    <w:rsid w:val="0000799A"/>
    <w:rsid w:val="0001006D"/>
    <w:rsid w:val="00010518"/>
    <w:rsid w:val="00011492"/>
    <w:rsid w:val="00013B05"/>
    <w:rsid w:val="00016177"/>
    <w:rsid w:val="00016843"/>
    <w:rsid w:val="00017035"/>
    <w:rsid w:val="000222B0"/>
    <w:rsid w:val="000240B4"/>
    <w:rsid w:val="00030C42"/>
    <w:rsid w:val="00032A95"/>
    <w:rsid w:val="00041CFD"/>
    <w:rsid w:val="00045D29"/>
    <w:rsid w:val="0006313B"/>
    <w:rsid w:val="00065B36"/>
    <w:rsid w:val="0007401D"/>
    <w:rsid w:val="000765E7"/>
    <w:rsid w:val="00081E5A"/>
    <w:rsid w:val="000821B1"/>
    <w:rsid w:val="0009103A"/>
    <w:rsid w:val="00094F26"/>
    <w:rsid w:val="000979B6"/>
    <w:rsid w:val="000A0938"/>
    <w:rsid w:val="000A0CA1"/>
    <w:rsid w:val="000A12AD"/>
    <w:rsid w:val="000B0475"/>
    <w:rsid w:val="000B414A"/>
    <w:rsid w:val="000C4DBC"/>
    <w:rsid w:val="000D293A"/>
    <w:rsid w:val="000D3696"/>
    <w:rsid w:val="000D7F98"/>
    <w:rsid w:val="000E2BEC"/>
    <w:rsid w:val="000F2C29"/>
    <w:rsid w:val="000F3BCC"/>
    <w:rsid w:val="000F6A07"/>
    <w:rsid w:val="000F7CBC"/>
    <w:rsid w:val="00102D3B"/>
    <w:rsid w:val="001051A5"/>
    <w:rsid w:val="00105C99"/>
    <w:rsid w:val="00111817"/>
    <w:rsid w:val="00113311"/>
    <w:rsid w:val="0011417A"/>
    <w:rsid w:val="00130BFE"/>
    <w:rsid w:val="0013397F"/>
    <w:rsid w:val="00133F23"/>
    <w:rsid w:val="00137B1C"/>
    <w:rsid w:val="001452A2"/>
    <w:rsid w:val="0015427B"/>
    <w:rsid w:val="00165FB2"/>
    <w:rsid w:val="00167110"/>
    <w:rsid w:val="00167F20"/>
    <w:rsid w:val="00171A6A"/>
    <w:rsid w:val="001728A8"/>
    <w:rsid w:val="00173892"/>
    <w:rsid w:val="00174AFC"/>
    <w:rsid w:val="0018030F"/>
    <w:rsid w:val="00183D0A"/>
    <w:rsid w:val="0019556D"/>
    <w:rsid w:val="001A1008"/>
    <w:rsid w:val="001A5F60"/>
    <w:rsid w:val="001B1CA6"/>
    <w:rsid w:val="001B4FBF"/>
    <w:rsid w:val="001C10AC"/>
    <w:rsid w:val="001C267B"/>
    <w:rsid w:val="001D1B0B"/>
    <w:rsid w:val="001D2B00"/>
    <w:rsid w:val="001D389C"/>
    <w:rsid w:val="001E5F38"/>
    <w:rsid w:val="001F1057"/>
    <w:rsid w:val="001F3EDC"/>
    <w:rsid w:val="001F4392"/>
    <w:rsid w:val="001F736C"/>
    <w:rsid w:val="00203869"/>
    <w:rsid w:val="00204F34"/>
    <w:rsid w:val="002129B0"/>
    <w:rsid w:val="0022054C"/>
    <w:rsid w:val="002306DB"/>
    <w:rsid w:val="0024167F"/>
    <w:rsid w:val="00251D69"/>
    <w:rsid w:val="002543A8"/>
    <w:rsid w:val="00256202"/>
    <w:rsid w:val="00256D48"/>
    <w:rsid w:val="0026006C"/>
    <w:rsid w:val="00261076"/>
    <w:rsid w:val="00270410"/>
    <w:rsid w:val="002741C5"/>
    <w:rsid w:val="00275952"/>
    <w:rsid w:val="00276B7B"/>
    <w:rsid w:val="0028695A"/>
    <w:rsid w:val="00290A9B"/>
    <w:rsid w:val="002A3094"/>
    <w:rsid w:val="002B2EB0"/>
    <w:rsid w:val="002B600F"/>
    <w:rsid w:val="002B6DA9"/>
    <w:rsid w:val="002C749E"/>
    <w:rsid w:val="002D29F4"/>
    <w:rsid w:val="002D32D7"/>
    <w:rsid w:val="002E2C13"/>
    <w:rsid w:val="002E50C8"/>
    <w:rsid w:val="002E7318"/>
    <w:rsid w:val="002F2025"/>
    <w:rsid w:val="002F48F8"/>
    <w:rsid w:val="002F4A08"/>
    <w:rsid w:val="00300473"/>
    <w:rsid w:val="003013A1"/>
    <w:rsid w:val="0031360E"/>
    <w:rsid w:val="0032133C"/>
    <w:rsid w:val="0033544D"/>
    <w:rsid w:val="0033598D"/>
    <w:rsid w:val="003410A7"/>
    <w:rsid w:val="00341B4D"/>
    <w:rsid w:val="00342838"/>
    <w:rsid w:val="00347F76"/>
    <w:rsid w:val="00356953"/>
    <w:rsid w:val="003570BC"/>
    <w:rsid w:val="00371B73"/>
    <w:rsid w:val="003744A2"/>
    <w:rsid w:val="00385786"/>
    <w:rsid w:val="00386F88"/>
    <w:rsid w:val="00390593"/>
    <w:rsid w:val="00397D16"/>
    <w:rsid w:val="003A0BD2"/>
    <w:rsid w:val="003A61EF"/>
    <w:rsid w:val="003B0846"/>
    <w:rsid w:val="003B377D"/>
    <w:rsid w:val="003C5472"/>
    <w:rsid w:val="003C6FFB"/>
    <w:rsid w:val="003D0052"/>
    <w:rsid w:val="003D2B1F"/>
    <w:rsid w:val="003D6672"/>
    <w:rsid w:val="003D6DE7"/>
    <w:rsid w:val="003E5AF0"/>
    <w:rsid w:val="003E624D"/>
    <w:rsid w:val="003E77B8"/>
    <w:rsid w:val="00400259"/>
    <w:rsid w:val="00405546"/>
    <w:rsid w:val="0040568C"/>
    <w:rsid w:val="00410AC3"/>
    <w:rsid w:val="00410EFE"/>
    <w:rsid w:val="0041386D"/>
    <w:rsid w:val="00414410"/>
    <w:rsid w:val="0041497F"/>
    <w:rsid w:val="00417458"/>
    <w:rsid w:val="004206AC"/>
    <w:rsid w:val="0042235A"/>
    <w:rsid w:val="00422C36"/>
    <w:rsid w:val="00424FFD"/>
    <w:rsid w:val="00434F28"/>
    <w:rsid w:val="00442C60"/>
    <w:rsid w:val="00444418"/>
    <w:rsid w:val="00451F23"/>
    <w:rsid w:val="004609F6"/>
    <w:rsid w:val="0046134C"/>
    <w:rsid w:val="00462697"/>
    <w:rsid w:val="00465212"/>
    <w:rsid w:val="004749B6"/>
    <w:rsid w:val="00481BD0"/>
    <w:rsid w:val="004851E2"/>
    <w:rsid w:val="00485CBE"/>
    <w:rsid w:val="004A5E67"/>
    <w:rsid w:val="004B08F7"/>
    <w:rsid w:val="004D3199"/>
    <w:rsid w:val="004D7608"/>
    <w:rsid w:val="004E5E61"/>
    <w:rsid w:val="004E718C"/>
    <w:rsid w:val="004F7CEC"/>
    <w:rsid w:val="004F7D87"/>
    <w:rsid w:val="005146CB"/>
    <w:rsid w:val="00524D29"/>
    <w:rsid w:val="005301B8"/>
    <w:rsid w:val="00547BFF"/>
    <w:rsid w:val="00556233"/>
    <w:rsid w:val="00562754"/>
    <w:rsid w:val="00562E93"/>
    <w:rsid w:val="005630EC"/>
    <w:rsid w:val="00564925"/>
    <w:rsid w:val="00583A78"/>
    <w:rsid w:val="00584853"/>
    <w:rsid w:val="00590257"/>
    <w:rsid w:val="00592563"/>
    <w:rsid w:val="005945E3"/>
    <w:rsid w:val="005A67C3"/>
    <w:rsid w:val="005B26A7"/>
    <w:rsid w:val="005B418D"/>
    <w:rsid w:val="005B5324"/>
    <w:rsid w:val="005C1EA6"/>
    <w:rsid w:val="005C2593"/>
    <w:rsid w:val="005C34C1"/>
    <w:rsid w:val="005D0374"/>
    <w:rsid w:val="005F141D"/>
    <w:rsid w:val="005F18EB"/>
    <w:rsid w:val="005F47B0"/>
    <w:rsid w:val="005F65A8"/>
    <w:rsid w:val="005F781D"/>
    <w:rsid w:val="005F7B47"/>
    <w:rsid w:val="00600DA4"/>
    <w:rsid w:val="0060175C"/>
    <w:rsid w:val="0060271E"/>
    <w:rsid w:val="00602DB9"/>
    <w:rsid w:val="00603ABD"/>
    <w:rsid w:val="006060B3"/>
    <w:rsid w:val="00606FE8"/>
    <w:rsid w:val="00612861"/>
    <w:rsid w:val="00615EAE"/>
    <w:rsid w:val="006172AF"/>
    <w:rsid w:val="006218A1"/>
    <w:rsid w:val="0062277C"/>
    <w:rsid w:val="006241C7"/>
    <w:rsid w:val="00626D90"/>
    <w:rsid w:val="006371F0"/>
    <w:rsid w:val="006447AF"/>
    <w:rsid w:val="00656F87"/>
    <w:rsid w:val="00660FF0"/>
    <w:rsid w:val="0066281B"/>
    <w:rsid w:val="006630CB"/>
    <w:rsid w:val="00666359"/>
    <w:rsid w:val="00667FB6"/>
    <w:rsid w:val="00674075"/>
    <w:rsid w:val="006760BF"/>
    <w:rsid w:val="00676C04"/>
    <w:rsid w:val="00681AE0"/>
    <w:rsid w:val="00683E26"/>
    <w:rsid w:val="0068418F"/>
    <w:rsid w:val="006848AD"/>
    <w:rsid w:val="00684D27"/>
    <w:rsid w:val="00684F4B"/>
    <w:rsid w:val="0069366E"/>
    <w:rsid w:val="006937C7"/>
    <w:rsid w:val="006A6509"/>
    <w:rsid w:val="006B1DD5"/>
    <w:rsid w:val="006B32C2"/>
    <w:rsid w:val="006B4314"/>
    <w:rsid w:val="006B4364"/>
    <w:rsid w:val="006C5DFE"/>
    <w:rsid w:val="006C7151"/>
    <w:rsid w:val="006C763A"/>
    <w:rsid w:val="006E3A14"/>
    <w:rsid w:val="006E4446"/>
    <w:rsid w:val="006F06FF"/>
    <w:rsid w:val="006F3367"/>
    <w:rsid w:val="006F475C"/>
    <w:rsid w:val="00702A02"/>
    <w:rsid w:val="007033F2"/>
    <w:rsid w:val="00710533"/>
    <w:rsid w:val="0071143C"/>
    <w:rsid w:val="007206D7"/>
    <w:rsid w:val="00721DBB"/>
    <w:rsid w:val="00725AF9"/>
    <w:rsid w:val="007302D0"/>
    <w:rsid w:val="00744F72"/>
    <w:rsid w:val="00750CA4"/>
    <w:rsid w:val="0075427B"/>
    <w:rsid w:val="00756B83"/>
    <w:rsid w:val="007612C1"/>
    <w:rsid w:val="007634CA"/>
    <w:rsid w:val="007720ED"/>
    <w:rsid w:val="0078377D"/>
    <w:rsid w:val="007926EC"/>
    <w:rsid w:val="007A4957"/>
    <w:rsid w:val="007A6C53"/>
    <w:rsid w:val="007B011D"/>
    <w:rsid w:val="007B5694"/>
    <w:rsid w:val="007C4021"/>
    <w:rsid w:val="007C6FC9"/>
    <w:rsid w:val="007D03CC"/>
    <w:rsid w:val="007D6AA0"/>
    <w:rsid w:val="007D6AFB"/>
    <w:rsid w:val="007E1681"/>
    <w:rsid w:val="007E35C6"/>
    <w:rsid w:val="007E7A56"/>
    <w:rsid w:val="007F14E1"/>
    <w:rsid w:val="007F75C5"/>
    <w:rsid w:val="00800E04"/>
    <w:rsid w:val="0080113A"/>
    <w:rsid w:val="00805B8A"/>
    <w:rsid w:val="00816446"/>
    <w:rsid w:val="00816E10"/>
    <w:rsid w:val="00823046"/>
    <w:rsid w:val="00823ECB"/>
    <w:rsid w:val="00832F25"/>
    <w:rsid w:val="008357BB"/>
    <w:rsid w:val="00835C61"/>
    <w:rsid w:val="00837A3E"/>
    <w:rsid w:val="00844073"/>
    <w:rsid w:val="00845768"/>
    <w:rsid w:val="00851080"/>
    <w:rsid w:val="00854F9F"/>
    <w:rsid w:val="0086209B"/>
    <w:rsid w:val="00862912"/>
    <w:rsid w:val="008709A3"/>
    <w:rsid w:val="008713E9"/>
    <w:rsid w:val="0088436D"/>
    <w:rsid w:val="0089194D"/>
    <w:rsid w:val="008951E7"/>
    <w:rsid w:val="00895C65"/>
    <w:rsid w:val="00896A73"/>
    <w:rsid w:val="00897413"/>
    <w:rsid w:val="008A13BF"/>
    <w:rsid w:val="008A162A"/>
    <w:rsid w:val="008A56E5"/>
    <w:rsid w:val="008B1E3E"/>
    <w:rsid w:val="008B53C0"/>
    <w:rsid w:val="008C027B"/>
    <w:rsid w:val="008C4DE9"/>
    <w:rsid w:val="008E349D"/>
    <w:rsid w:val="008E3E50"/>
    <w:rsid w:val="008F2A8A"/>
    <w:rsid w:val="008F53E3"/>
    <w:rsid w:val="008F594E"/>
    <w:rsid w:val="008F5B1D"/>
    <w:rsid w:val="008F663A"/>
    <w:rsid w:val="008F681B"/>
    <w:rsid w:val="00906995"/>
    <w:rsid w:val="00910445"/>
    <w:rsid w:val="00910E12"/>
    <w:rsid w:val="00915A69"/>
    <w:rsid w:val="009257C4"/>
    <w:rsid w:val="00936484"/>
    <w:rsid w:val="00940FA5"/>
    <w:rsid w:val="009467BF"/>
    <w:rsid w:val="00950E08"/>
    <w:rsid w:val="00952F0C"/>
    <w:rsid w:val="0096353F"/>
    <w:rsid w:val="0097698F"/>
    <w:rsid w:val="00986325"/>
    <w:rsid w:val="00986FEB"/>
    <w:rsid w:val="009941BA"/>
    <w:rsid w:val="009A0535"/>
    <w:rsid w:val="009A18CA"/>
    <w:rsid w:val="009A7681"/>
    <w:rsid w:val="009B1E10"/>
    <w:rsid w:val="009B30B0"/>
    <w:rsid w:val="009B5970"/>
    <w:rsid w:val="009C0570"/>
    <w:rsid w:val="009C0F42"/>
    <w:rsid w:val="009C12A2"/>
    <w:rsid w:val="009C1C83"/>
    <w:rsid w:val="009C34CA"/>
    <w:rsid w:val="009D55F4"/>
    <w:rsid w:val="009E5743"/>
    <w:rsid w:val="009F3E29"/>
    <w:rsid w:val="00A06832"/>
    <w:rsid w:val="00A11F72"/>
    <w:rsid w:val="00A12AAC"/>
    <w:rsid w:val="00A1564A"/>
    <w:rsid w:val="00A365A1"/>
    <w:rsid w:val="00A43C02"/>
    <w:rsid w:val="00A44792"/>
    <w:rsid w:val="00A503DF"/>
    <w:rsid w:val="00A612A3"/>
    <w:rsid w:val="00A64492"/>
    <w:rsid w:val="00A654FB"/>
    <w:rsid w:val="00A84024"/>
    <w:rsid w:val="00A844D6"/>
    <w:rsid w:val="00A92291"/>
    <w:rsid w:val="00A922DA"/>
    <w:rsid w:val="00A93D40"/>
    <w:rsid w:val="00A967D5"/>
    <w:rsid w:val="00A971BA"/>
    <w:rsid w:val="00AA376B"/>
    <w:rsid w:val="00AA4627"/>
    <w:rsid w:val="00AB33E2"/>
    <w:rsid w:val="00AD27BE"/>
    <w:rsid w:val="00AE0757"/>
    <w:rsid w:val="00B07199"/>
    <w:rsid w:val="00B0760B"/>
    <w:rsid w:val="00B07A88"/>
    <w:rsid w:val="00B11E8E"/>
    <w:rsid w:val="00B124F2"/>
    <w:rsid w:val="00B14273"/>
    <w:rsid w:val="00B16C08"/>
    <w:rsid w:val="00B17FF4"/>
    <w:rsid w:val="00B23A11"/>
    <w:rsid w:val="00B260A1"/>
    <w:rsid w:val="00B34471"/>
    <w:rsid w:val="00B4001D"/>
    <w:rsid w:val="00B411BA"/>
    <w:rsid w:val="00B443C3"/>
    <w:rsid w:val="00B53E2C"/>
    <w:rsid w:val="00B54A7C"/>
    <w:rsid w:val="00B55739"/>
    <w:rsid w:val="00B57CB7"/>
    <w:rsid w:val="00B653E5"/>
    <w:rsid w:val="00B6721E"/>
    <w:rsid w:val="00B71A5B"/>
    <w:rsid w:val="00B71ECE"/>
    <w:rsid w:val="00B8279B"/>
    <w:rsid w:val="00B85297"/>
    <w:rsid w:val="00B85B3A"/>
    <w:rsid w:val="00B904F5"/>
    <w:rsid w:val="00B948E6"/>
    <w:rsid w:val="00BA0581"/>
    <w:rsid w:val="00BA4854"/>
    <w:rsid w:val="00BB12EF"/>
    <w:rsid w:val="00BB2279"/>
    <w:rsid w:val="00BB4477"/>
    <w:rsid w:val="00BB69A4"/>
    <w:rsid w:val="00BD6D39"/>
    <w:rsid w:val="00BE1B38"/>
    <w:rsid w:val="00BE31B9"/>
    <w:rsid w:val="00BF2779"/>
    <w:rsid w:val="00BF6363"/>
    <w:rsid w:val="00BF7640"/>
    <w:rsid w:val="00BF7E02"/>
    <w:rsid w:val="00C0049C"/>
    <w:rsid w:val="00C02FEA"/>
    <w:rsid w:val="00C077EC"/>
    <w:rsid w:val="00C100F7"/>
    <w:rsid w:val="00C117DA"/>
    <w:rsid w:val="00C12C83"/>
    <w:rsid w:val="00C12D98"/>
    <w:rsid w:val="00C13143"/>
    <w:rsid w:val="00C24FDD"/>
    <w:rsid w:val="00C3489B"/>
    <w:rsid w:val="00C433D2"/>
    <w:rsid w:val="00C4503C"/>
    <w:rsid w:val="00C51265"/>
    <w:rsid w:val="00C55A24"/>
    <w:rsid w:val="00C6356C"/>
    <w:rsid w:val="00C660B9"/>
    <w:rsid w:val="00C67399"/>
    <w:rsid w:val="00C71865"/>
    <w:rsid w:val="00C72B62"/>
    <w:rsid w:val="00C75B6C"/>
    <w:rsid w:val="00C80916"/>
    <w:rsid w:val="00C90530"/>
    <w:rsid w:val="00C91EF8"/>
    <w:rsid w:val="00C92850"/>
    <w:rsid w:val="00CA379A"/>
    <w:rsid w:val="00CA4B9C"/>
    <w:rsid w:val="00CA63E5"/>
    <w:rsid w:val="00CB0326"/>
    <w:rsid w:val="00CB3EB4"/>
    <w:rsid w:val="00CB40EA"/>
    <w:rsid w:val="00CC2854"/>
    <w:rsid w:val="00CC3028"/>
    <w:rsid w:val="00CC4433"/>
    <w:rsid w:val="00CD1719"/>
    <w:rsid w:val="00CD5695"/>
    <w:rsid w:val="00CE4D88"/>
    <w:rsid w:val="00CE7BD8"/>
    <w:rsid w:val="00CF1D96"/>
    <w:rsid w:val="00CF4890"/>
    <w:rsid w:val="00D05FA3"/>
    <w:rsid w:val="00D136C0"/>
    <w:rsid w:val="00D137E2"/>
    <w:rsid w:val="00D1389C"/>
    <w:rsid w:val="00D26985"/>
    <w:rsid w:val="00D31560"/>
    <w:rsid w:val="00D34336"/>
    <w:rsid w:val="00D4209E"/>
    <w:rsid w:val="00D47398"/>
    <w:rsid w:val="00D614F8"/>
    <w:rsid w:val="00D6302D"/>
    <w:rsid w:val="00D67EE3"/>
    <w:rsid w:val="00D702C6"/>
    <w:rsid w:val="00D84E89"/>
    <w:rsid w:val="00D9632A"/>
    <w:rsid w:val="00D972C6"/>
    <w:rsid w:val="00DA3058"/>
    <w:rsid w:val="00DB249A"/>
    <w:rsid w:val="00DB51F2"/>
    <w:rsid w:val="00DB6B41"/>
    <w:rsid w:val="00DC762B"/>
    <w:rsid w:val="00DE01CF"/>
    <w:rsid w:val="00DE15B1"/>
    <w:rsid w:val="00DE1658"/>
    <w:rsid w:val="00DE1CCA"/>
    <w:rsid w:val="00DE5090"/>
    <w:rsid w:val="00DF514D"/>
    <w:rsid w:val="00E11FF0"/>
    <w:rsid w:val="00E15D29"/>
    <w:rsid w:val="00E160D1"/>
    <w:rsid w:val="00E1723A"/>
    <w:rsid w:val="00E348EE"/>
    <w:rsid w:val="00E34FA4"/>
    <w:rsid w:val="00E3721A"/>
    <w:rsid w:val="00E41EFE"/>
    <w:rsid w:val="00E43749"/>
    <w:rsid w:val="00E44288"/>
    <w:rsid w:val="00E478BE"/>
    <w:rsid w:val="00E50496"/>
    <w:rsid w:val="00E515F0"/>
    <w:rsid w:val="00E54017"/>
    <w:rsid w:val="00E549FE"/>
    <w:rsid w:val="00E56FBB"/>
    <w:rsid w:val="00E65471"/>
    <w:rsid w:val="00E6780F"/>
    <w:rsid w:val="00E67E90"/>
    <w:rsid w:val="00E72351"/>
    <w:rsid w:val="00E763B8"/>
    <w:rsid w:val="00EA33AF"/>
    <w:rsid w:val="00EA4B16"/>
    <w:rsid w:val="00EB4DFB"/>
    <w:rsid w:val="00EC33F7"/>
    <w:rsid w:val="00EC51FB"/>
    <w:rsid w:val="00EC7E7D"/>
    <w:rsid w:val="00EE17F6"/>
    <w:rsid w:val="00EF3EBC"/>
    <w:rsid w:val="00F00B72"/>
    <w:rsid w:val="00F07318"/>
    <w:rsid w:val="00F11E66"/>
    <w:rsid w:val="00F177DD"/>
    <w:rsid w:val="00F21AD8"/>
    <w:rsid w:val="00F23FD7"/>
    <w:rsid w:val="00F3613B"/>
    <w:rsid w:val="00F5100D"/>
    <w:rsid w:val="00F52044"/>
    <w:rsid w:val="00F552E4"/>
    <w:rsid w:val="00F57931"/>
    <w:rsid w:val="00F57AC5"/>
    <w:rsid w:val="00F57ED9"/>
    <w:rsid w:val="00F669F3"/>
    <w:rsid w:val="00F71662"/>
    <w:rsid w:val="00F760EB"/>
    <w:rsid w:val="00F800B8"/>
    <w:rsid w:val="00FB470F"/>
    <w:rsid w:val="00FC11D3"/>
    <w:rsid w:val="00FC20A6"/>
    <w:rsid w:val="00FD0C13"/>
    <w:rsid w:val="00FD407C"/>
    <w:rsid w:val="00FD7205"/>
    <w:rsid w:val="00FE3A44"/>
    <w:rsid w:val="00FE404E"/>
    <w:rsid w:val="00FF37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60E9C5"/>
  <w15:docId w15:val="{909D8BD3-7FE2-4BE0-AEAC-E468CBA1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4"/>
    </w:rPr>
  </w:style>
  <w:style w:type="paragraph" w:styleId="berschrift1">
    <w:name w:val="heading 1"/>
    <w:basedOn w:val="Standard"/>
    <w:next w:val="Standard"/>
    <w:qFormat/>
    <w:pPr>
      <w:keepNext/>
      <w:ind w:left="1134" w:hanging="1134"/>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
    <w:name w:val="Body Text"/>
    <w:basedOn w:val="Standard"/>
    <w:pPr>
      <w:jc w:val="both"/>
    </w:pPr>
  </w:style>
  <w:style w:type="paragraph" w:customStyle="1" w:styleId="Listenabsatz1">
    <w:name w:val="Listenabsatz1"/>
    <w:basedOn w:val="Standard"/>
    <w:rsid w:val="00137B1C"/>
    <w:pPr>
      <w:spacing w:after="200" w:line="276" w:lineRule="auto"/>
      <w:ind w:left="720"/>
      <w:contextualSpacing/>
    </w:pPr>
    <w:rPr>
      <w:rFonts w:ascii="Calibri" w:hAnsi="Calibri"/>
      <w:sz w:val="22"/>
      <w:szCs w:val="22"/>
      <w:lang w:eastAsia="en-US"/>
    </w:rPr>
  </w:style>
  <w:style w:type="paragraph" w:styleId="Sprechblasentext">
    <w:name w:val="Balloon Text"/>
    <w:basedOn w:val="Standard"/>
    <w:semiHidden/>
    <w:rsid w:val="00B53E2C"/>
    <w:rPr>
      <w:rFonts w:ascii="Tahoma" w:hAnsi="Tahoma" w:cs="Tahoma"/>
      <w:sz w:val="16"/>
      <w:szCs w:val="16"/>
    </w:rPr>
  </w:style>
  <w:style w:type="paragraph" w:styleId="StandardWeb">
    <w:name w:val="Normal (Web)"/>
    <w:basedOn w:val="Standard"/>
    <w:rsid w:val="003013A1"/>
    <w:pPr>
      <w:spacing w:before="100" w:beforeAutospacing="1" w:after="100" w:afterAutospacing="1" w:line="240" w:lineRule="auto"/>
    </w:pPr>
    <w:rPr>
      <w:rFonts w:ascii="Times New Roman" w:hAnsi="Times New Roman"/>
      <w:szCs w:val="24"/>
    </w:rPr>
  </w:style>
  <w:style w:type="paragraph" w:styleId="Listenabsatz">
    <w:name w:val="List Paragraph"/>
    <w:basedOn w:val="Standard"/>
    <w:uiPriority w:val="34"/>
    <w:qFormat/>
    <w:rsid w:val="006C763A"/>
    <w:pPr>
      <w:ind w:left="720"/>
      <w:contextualSpacing/>
    </w:pPr>
  </w:style>
  <w:style w:type="character" w:styleId="Hyperlink">
    <w:name w:val="Hyperlink"/>
    <w:basedOn w:val="Absatz-Standardschriftart"/>
    <w:rsid w:val="00851080"/>
    <w:rPr>
      <w:color w:val="0000FF" w:themeColor="hyperlink"/>
      <w:u w:val="single"/>
    </w:rPr>
  </w:style>
  <w:style w:type="paragraph" w:styleId="Funotentext">
    <w:name w:val="footnote text"/>
    <w:basedOn w:val="Standard"/>
    <w:link w:val="FunotentextZchn"/>
    <w:semiHidden/>
    <w:unhideWhenUsed/>
    <w:rsid w:val="00C12C83"/>
    <w:pPr>
      <w:spacing w:line="240" w:lineRule="auto"/>
    </w:pPr>
    <w:rPr>
      <w:sz w:val="20"/>
    </w:rPr>
  </w:style>
  <w:style w:type="character" w:customStyle="1" w:styleId="FunotentextZchn">
    <w:name w:val="Fußnotentext Zchn"/>
    <w:basedOn w:val="Absatz-Standardschriftart"/>
    <w:link w:val="Funotentext"/>
    <w:semiHidden/>
    <w:rsid w:val="00C12C83"/>
    <w:rPr>
      <w:rFonts w:ascii="Arial" w:hAnsi="Arial"/>
    </w:rPr>
  </w:style>
  <w:style w:type="character" w:styleId="Funotenzeichen">
    <w:name w:val="footnote reference"/>
    <w:basedOn w:val="Absatz-Standardschriftart"/>
    <w:semiHidden/>
    <w:unhideWhenUsed/>
    <w:rsid w:val="00C12C83"/>
    <w:rPr>
      <w:vertAlign w:val="superscript"/>
    </w:rPr>
  </w:style>
  <w:style w:type="character" w:styleId="BesuchterLink">
    <w:name w:val="FollowedHyperlink"/>
    <w:basedOn w:val="Absatz-Standardschriftart"/>
    <w:semiHidden/>
    <w:unhideWhenUsed/>
    <w:rsid w:val="00626D90"/>
    <w:rPr>
      <w:color w:val="800080" w:themeColor="followedHyperlink"/>
      <w:u w:val="single"/>
    </w:rPr>
  </w:style>
  <w:style w:type="character" w:styleId="Kommentarzeichen">
    <w:name w:val="annotation reference"/>
    <w:basedOn w:val="Absatz-Standardschriftart"/>
    <w:semiHidden/>
    <w:unhideWhenUsed/>
    <w:rsid w:val="004609F6"/>
    <w:rPr>
      <w:sz w:val="16"/>
      <w:szCs w:val="16"/>
    </w:rPr>
  </w:style>
  <w:style w:type="paragraph" w:styleId="Kommentartext">
    <w:name w:val="annotation text"/>
    <w:basedOn w:val="Standard"/>
    <w:link w:val="KommentartextZchn"/>
    <w:semiHidden/>
    <w:unhideWhenUsed/>
    <w:rsid w:val="004609F6"/>
    <w:pPr>
      <w:spacing w:line="240" w:lineRule="auto"/>
    </w:pPr>
    <w:rPr>
      <w:sz w:val="20"/>
    </w:rPr>
  </w:style>
  <w:style w:type="character" w:customStyle="1" w:styleId="KommentartextZchn">
    <w:name w:val="Kommentartext Zchn"/>
    <w:basedOn w:val="Absatz-Standardschriftart"/>
    <w:link w:val="Kommentartext"/>
    <w:semiHidden/>
    <w:rsid w:val="004609F6"/>
    <w:rPr>
      <w:rFonts w:ascii="Arial" w:hAnsi="Arial"/>
    </w:rPr>
  </w:style>
  <w:style w:type="paragraph" w:styleId="Kommentarthema">
    <w:name w:val="annotation subject"/>
    <w:basedOn w:val="Kommentartext"/>
    <w:next w:val="Kommentartext"/>
    <w:link w:val="KommentarthemaZchn"/>
    <w:semiHidden/>
    <w:unhideWhenUsed/>
    <w:rsid w:val="004609F6"/>
    <w:rPr>
      <w:b/>
      <w:bCs/>
    </w:rPr>
  </w:style>
  <w:style w:type="character" w:customStyle="1" w:styleId="KommentarthemaZchn">
    <w:name w:val="Kommentarthema Zchn"/>
    <w:basedOn w:val="KommentartextZchn"/>
    <w:link w:val="Kommentarthema"/>
    <w:semiHidden/>
    <w:rsid w:val="004609F6"/>
    <w:rPr>
      <w:rFonts w:ascii="Arial" w:hAnsi="Arial"/>
      <w:b/>
      <w:bCs/>
    </w:rPr>
  </w:style>
  <w:style w:type="character" w:styleId="Platzhaltertext">
    <w:name w:val="Placeholder Text"/>
    <w:basedOn w:val="Absatz-Standardschriftart"/>
    <w:uiPriority w:val="99"/>
    <w:semiHidden/>
    <w:rsid w:val="006B4364"/>
    <w:rPr>
      <w:color w:val="808080"/>
    </w:rPr>
  </w:style>
  <w:style w:type="paragraph" w:customStyle="1" w:styleId="Default">
    <w:name w:val="Default"/>
    <w:rsid w:val="00081E5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9884">
      <w:bodyDiv w:val="1"/>
      <w:marLeft w:val="0"/>
      <w:marRight w:val="0"/>
      <w:marTop w:val="0"/>
      <w:marBottom w:val="0"/>
      <w:divBdr>
        <w:top w:val="none" w:sz="0" w:space="0" w:color="auto"/>
        <w:left w:val="none" w:sz="0" w:space="0" w:color="auto"/>
        <w:bottom w:val="none" w:sz="0" w:space="0" w:color="auto"/>
        <w:right w:val="none" w:sz="0" w:space="0" w:color="auto"/>
      </w:divBdr>
    </w:div>
    <w:div w:id="253713920">
      <w:bodyDiv w:val="1"/>
      <w:marLeft w:val="0"/>
      <w:marRight w:val="0"/>
      <w:marTop w:val="0"/>
      <w:marBottom w:val="0"/>
      <w:divBdr>
        <w:top w:val="none" w:sz="0" w:space="0" w:color="auto"/>
        <w:left w:val="none" w:sz="0" w:space="0" w:color="auto"/>
        <w:bottom w:val="none" w:sz="0" w:space="0" w:color="auto"/>
        <w:right w:val="none" w:sz="0" w:space="0" w:color="auto"/>
      </w:divBdr>
    </w:div>
    <w:div w:id="372538861">
      <w:bodyDiv w:val="1"/>
      <w:marLeft w:val="0"/>
      <w:marRight w:val="0"/>
      <w:marTop w:val="0"/>
      <w:marBottom w:val="0"/>
      <w:divBdr>
        <w:top w:val="none" w:sz="0" w:space="0" w:color="auto"/>
        <w:left w:val="none" w:sz="0" w:space="0" w:color="auto"/>
        <w:bottom w:val="none" w:sz="0" w:space="0" w:color="auto"/>
        <w:right w:val="none" w:sz="0" w:space="0" w:color="auto"/>
      </w:divBdr>
      <w:divsChild>
        <w:div w:id="564335037">
          <w:marLeft w:val="0"/>
          <w:marRight w:val="0"/>
          <w:marTop w:val="0"/>
          <w:marBottom w:val="0"/>
          <w:divBdr>
            <w:top w:val="none" w:sz="0" w:space="0" w:color="auto"/>
            <w:left w:val="none" w:sz="0" w:space="0" w:color="auto"/>
            <w:bottom w:val="none" w:sz="0" w:space="0" w:color="auto"/>
            <w:right w:val="none" w:sz="0" w:space="0" w:color="auto"/>
          </w:divBdr>
          <w:divsChild>
            <w:div w:id="1682244272">
              <w:marLeft w:val="0"/>
              <w:marRight w:val="0"/>
              <w:marTop w:val="0"/>
              <w:marBottom w:val="0"/>
              <w:divBdr>
                <w:top w:val="none" w:sz="0" w:space="0" w:color="auto"/>
                <w:left w:val="none" w:sz="0" w:space="0" w:color="auto"/>
                <w:bottom w:val="none" w:sz="0" w:space="0" w:color="auto"/>
                <w:right w:val="none" w:sz="0" w:space="0" w:color="auto"/>
              </w:divBdr>
              <w:divsChild>
                <w:div w:id="1808081768">
                  <w:marLeft w:val="0"/>
                  <w:marRight w:val="0"/>
                  <w:marTop w:val="0"/>
                  <w:marBottom w:val="0"/>
                  <w:divBdr>
                    <w:top w:val="none" w:sz="0" w:space="0" w:color="auto"/>
                    <w:left w:val="none" w:sz="0" w:space="0" w:color="auto"/>
                    <w:bottom w:val="none" w:sz="0" w:space="0" w:color="auto"/>
                    <w:right w:val="none" w:sz="0" w:space="0" w:color="auto"/>
                  </w:divBdr>
                  <w:divsChild>
                    <w:div w:id="1978023933">
                      <w:marLeft w:val="0"/>
                      <w:marRight w:val="0"/>
                      <w:marTop w:val="0"/>
                      <w:marBottom w:val="0"/>
                      <w:divBdr>
                        <w:top w:val="none" w:sz="0" w:space="0" w:color="auto"/>
                        <w:left w:val="none" w:sz="0" w:space="0" w:color="auto"/>
                        <w:bottom w:val="none" w:sz="0" w:space="0" w:color="auto"/>
                        <w:right w:val="none" w:sz="0" w:space="0" w:color="auto"/>
                      </w:divBdr>
                      <w:divsChild>
                        <w:div w:id="571424832">
                          <w:marLeft w:val="0"/>
                          <w:marRight w:val="0"/>
                          <w:marTop w:val="0"/>
                          <w:marBottom w:val="0"/>
                          <w:divBdr>
                            <w:top w:val="none" w:sz="0" w:space="0" w:color="auto"/>
                            <w:left w:val="none" w:sz="0" w:space="0" w:color="auto"/>
                            <w:bottom w:val="none" w:sz="0" w:space="0" w:color="auto"/>
                            <w:right w:val="none" w:sz="0" w:space="0" w:color="auto"/>
                          </w:divBdr>
                          <w:divsChild>
                            <w:div w:id="571038590">
                              <w:marLeft w:val="0"/>
                              <w:marRight w:val="0"/>
                              <w:marTop w:val="0"/>
                              <w:marBottom w:val="0"/>
                              <w:divBdr>
                                <w:top w:val="none" w:sz="0" w:space="0" w:color="auto"/>
                                <w:left w:val="none" w:sz="0" w:space="0" w:color="auto"/>
                                <w:bottom w:val="none" w:sz="0" w:space="0" w:color="auto"/>
                                <w:right w:val="none" w:sz="0" w:space="0" w:color="auto"/>
                              </w:divBdr>
                              <w:divsChild>
                                <w:div w:id="1423720146">
                                  <w:marLeft w:val="0"/>
                                  <w:marRight w:val="0"/>
                                  <w:marTop w:val="0"/>
                                  <w:marBottom w:val="0"/>
                                  <w:divBdr>
                                    <w:top w:val="none" w:sz="0" w:space="0" w:color="auto"/>
                                    <w:left w:val="none" w:sz="0" w:space="0" w:color="auto"/>
                                    <w:bottom w:val="none" w:sz="0" w:space="0" w:color="auto"/>
                                    <w:right w:val="none" w:sz="0" w:space="0" w:color="auto"/>
                                  </w:divBdr>
                                  <w:divsChild>
                                    <w:div w:id="276110997">
                                      <w:marLeft w:val="0"/>
                                      <w:marRight w:val="0"/>
                                      <w:marTop w:val="0"/>
                                      <w:marBottom w:val="0"/>
                                      <w:divBdr>
                                        <w:top w:val="none" w:sz="0" w:space="0" w:color="auto"/>
                                        <w:left w:val="none" w:sz="0" w:space="0" w:color="auto"/>
                                        <w:bottom w:val="none" w:sz="0" w:space="0" w:color="auto"/>
                                        <w:right w:val="none" w:sz="0" w:space="0" w:color="auto"/>
                                      </w:divBdr>
                                      <w:divsChild>
                                        <w:div w:id="1194266735">
                                          <w:marLeft w:val="0"/>
                                          <w:marRight w:val="0"/>
                                          <w:marTop w:val="0"/>
                                          <w:marBottom w:val="0"/>
                                          <w:divBdr>
                                            <w:top w:val="none" w:sz="0" w:space="0" w:color="auto"/>
                                            <w:left w:val="none" w:sz="0" w:space="0" w:color="auto"/>
                                            <w:bottom w:val="none" w:sz="0" w:space="0" w:color="auto"/>
                                            <w:right w:val="none" w:sz="0" w:space="0" w:color="auto"/>
                                          </w:divBdr>
                                          <w:divsChild>
                                            <w:div w:id="67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006427">
      <w:bodyDiv w:val="1"/>
      <w:marLeft w:val="0"/>
      <w:marRight w:val="0"/>
      <w:marTop w:val="0"/>
      <w:marBottom w:val="0"/>
      <w:divBdr>
        <w:top w:val="none" w:sz="0" w:space="0" w:color="auto"/>
        <w:left w:val="none" w:sz="0" w:space="0" w:color="auto"/>
        <w:bottom w:val="none" w:sz="0" w:space="0" w:color="auto"/>
        <w:right w:val="none" w:sz="0" w:space="0" w:color="auto"/>
      </w:divBdr>
    </w:div>
    <w:div w:id="193397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5AE70-F1B4-4A91-AE1E-AA3D37D0E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5233</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Schriftliche Kleine Anfrage</vt:lpstr>
    </vt:vector>
  </TitlesOfParts>
  <Company>CDU Bürgerschaftsfraktion</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Schriftliche Kleine Anfrage</dc:title>
  <dc:creator>Kuhnen, Jan Drees Dr.</dc:creator>
  <cp:lastModifiedBy>Niehaus, Sören</cp:lastModifiedBy>
  <cp:revision>5</cp:revision>
  <cp:lastPrinted>2011-09-07T08:17:00Z</cp:lastPrinted>
  <dcterms:created xsi:type="dcterms:W3CDTF">2022-03-28T13:10:00Z</dcterms:created>
  <dcterms:modified xsi:type="dcterms:W3CDTF">2022-03-30T07:12:00Z</dcterms:modified>
</cp:coreProperties>
</file>