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99D1" w14:textId="172BE4E9" w:rsidR="00AD44F9" w:rsidRPr="000F4B34" w:rsidRDefault="001C3265" w:rsidP="001C3265">
      <w:pPr>
        <w:autoSpaceDE w:val="0"/>
        <w:autoSpaceDN w:val="0"/>
        <w:adjustRightInd w:val="0"/>
        <w:spacing w:line="240" w:lineRule="auto"/>
        <w:jc w:val="right"/>
        <w:rPr>
          <w:rFonts w:cs="Arial"/>
          <w:b/>
          <w:bCs/>
          <w:color w:val="000000"/>
          <w:sz w:val="22"/>
          <w:szCs w:val="28"/>
        </w:rPr>
      </w:pPr>
      <w:bookmarkStart w:id="0" w:name="_GoBack"/>
      <w:bookmarkEnd w:id="0"/>
      <w:r w:rsidRPr="000F4B34">
        <w:rPr>
          <w:sz w:val="20"/>
          <w:szCs w:val="22"/>
        </w:rPr>
        <w:t>27. Mai 2022</w:t>
      </w:r>
    </w:p>
    <w:p w14:paraId="4DB4C64F" w14:textId="77777777" w:rsidR="00862256" w:rsidRDefault="00862256" w:rsidP="00AD44F9">
      <w:pPr>
        <w:autoSpaceDE w:val="0"/>
        <w:autoSpaceDN w:val="0"/>
        <w:adjustRightInd w:val="0"/>
        <w:spacing w:line="240" w:lineRule="auto"/>
        <w:jc w:val="center"/>
        <w:rPr>
          <w:rFonts w:cs="Arial"/>
          <w:b/>
          <w:bCs/>
          <w:color w:val="000000"/>
          <w:sz w:val="36"/>
          <w:szCs w:val="36"/>
        </w:rPr>
      </w:pPr>
    </w:p>
    <w:p w14:paraId="2B28A74E" w14:textId="77777777" w:rsidR="00862256" w:rsidRPr="00B86453" w:rsidRDefault="00862256" w:rsidP="00441997">
      <w:pPr>
        <w:spacing w:after="120"/>
        <w:jc w:val="center"/>
        <w:rPr>
          <w:b/>
          <w:sz w:val="36"/>
          <w:szCs w:val="36"/>
        </w:rPr>
      </w:pPr>
      <w:r w:rsidRPr="00862256">
        <w:rPr>
          <w:rFonts w:cs="Arial"/>
          <w:szCs w:val="24"/>
        </w:rPr>
        <w:t xml:space="preserve"> </w:t>
      </w:r>
      <w:r w:rsidRPr="00B86453">
        <w:rPr>
          <w:b/>
          <w:sz w:val="36"/>
          <w:szCs w:val="36"/>
        </w:rPr>
        <w:t>Schriftliche Kleine Anfrage</w:t>
      </w:r>
    </w:p>
    <w:p w14:paraId="51A736AC" w14:textId="09F97D10" w:rsidR="00862256" w:rsidRPr="00B86453" w:rsidRDefault="00862256" w:rsidP="00441997">
      <w:pPr>
        <w:spacing w:after="120" w:line="240" w:lineRule="auto"/>
        <w:jc w:val="center"/>
        <w:rPr>
          <w:b/>
          <w:sz w:val="20"/>
        </w:rPr>
      </w:pPr>
      <w:r w:rsidRPr="00B86453">
        <w:rPr>
          <w:b/>
          <w:sz w:val="20"/>
        </w:rPr>
        <w:t>de</w:t>
      </w:r>
      <w:r w:rsidR="009E56B6">
        <w:rPr>
          <w:b/>
          <w:sz w:val="20"/>
        </w:rPr>
        <w:t>s</w:t>
      </w:r>
      <w:r w:rsidRPr="00B86453">
        <w:rPr>
          <w:b/>
          <w:sz w:val="20"/>
        </w:rPr>
        <w:t xml:space="preserve"> Abgeordneten </w:t>
      </w:r>
      <w:r w:rsidR="00B05572" w:rsidRPr="00B05572">
        <w:rPr>
          <w:b/>
          <w:sz w:val="20"/>
        </w:rPr>
        <w:t xml:space="preserve">Prof. Dr. Götz Wiese </w:t>
      </w:r>
      <w:r w:rsidRPr="00B86453">
        <w:rPr>
          <w:b/>
          <w:sz w:val="20"/>
        </w:rPr>
        <w:t>(</w:t>
      </w:r>
      <w:r w:rsidR="003E2E94">
        <w:rPr>
          <w:b/>
          <w:sz w:val="20"/>
        </w:rPr>
        <w:t>CDU</w:t>
      </w:r>
      <w:r w:rsidR="009E56B6">
        <w:rPr>
          <w:b/>
          <w:sz w:val="20"/>
        </w:rPr>
        <w:t xml:space="preserve">) vom </w:t>
      </w:r>
      <w:r w:rsidR="006D2509">
        <w:rPr>
          <w:b/>
          <w:sz w:val="20"/>
        </w:rPr>
        <w:t>20.05</w:t>
      </w:r>
      <w:r w:rsidR="00E50226">
        <w:rPr>
          <w:b/>
          <w:sz w:val="20"/>
        </w:rPr>
        <w:t>.2022</w:t>
      </w:r>
    </w:p>
    <w:p w14:paraId="16E94E70" w14:textId="77777777" w:rsidR="00AD44F9" w:rsidRDefault="00862256" w:rsidP="00441997">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14:paraId="0F72CC06" w14:textId="77777777"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B05572">
        <w:rPr>
          <w:b/>
          <w:sz w:val="28"/>
          <w:szCs w:val="28"/>
        </w:rPr>
        <w:t>8398</w:t>
      </w:r>
      <w:r>
        <w:rPr>
          <w:b/>
          <w:sz w:val="28"/>
          <w:szCs w:val="28"/>
        </w:rPr>
        <w:t xml:space="preserve"> -</w:t>
      </w:r>
    </w:p>
    <w:p w14:paraId="4209B189" w14:textId="77777777" w:rsidR="00AD44F9" w:rsidRDefault="00AD44F9" w:rsidP="007C3747">
      <w:pPr>
        <w:spacing w:line="240" w:lineRule="auto"/>
        <w:rPr>
          <w:sz w:val="22"/>
          <w:szCs w:val="22"/>
        </w:rPr>
      </w:pPr>
    </w:p>
    <w:p w14:paraId="08ECA6D2" w14:textId="77777777" w:rsidR="003E2E94" w:rsidRDefault="003E2E94" w:rsidP="00D67DA0">
      <w:pPr>
        <w:pStyle w:val="Titel-Betreff"/>
        <w:tabs>
          <w:tab w:val="clear" w:pos="794"/>
        </w:tabs>
        <w:jc w:val="both"/>
      </w:pPr>
      <w:r w:rsidRPr="00296607">
        <w:t>Betr.:</w:t>
      </w:r>
      <w:r w:rsidRPr="00296607">
        <w:tab/>
      </w:r>
      <w:r w:rsidR="00B05572" w:rsidRPr="00B05572">
        <w:t>Energieverbrauch und -versorgung in Hamburg und in der Metropolregion</w:t>
      </w:r>
    </w:p>
    <w:p w14:paraId="1A5BCCBB" w14:textId="77777777" w:rsidR="009E56B6" w:rsidRPr="00B47BA1" w:rsidRDefault="009E56B6" w:rsidP="003E2E94">
      <w:pPr>
        <w:autoSpaceDE w:val="0"/>
        <w:autoSpaceDN w:val="0"/>
        <w:adjustRightInd w:val="0"/>
        <w:spacing w:line="240" w:lineRule="auto"/>
        <w:rPr>
          <w:rFonts w:cs="Arial"/>
          <w:b/>
          <w:i/>
          <w:sz w:val="20"/>
        </w:rPr>
      </w:pPr>
      <w:r w:rsidRPr="00B47BA1">
        <w:rPr>
          <w:rFonts w:cs="Arial"/>
          <w:b/>
          <w:i/>
          <w:sz w:val="20"/>
        </w:rPr>
        <w:t>Einleitung für die Fragen:</w:t>
      </w:r>
    </w:p>
    <w:p w14:paraId="4EC9EFA2" w14:textId="77777777" w:rsidR="009E56B6" w:rsidRDefault="009E56B6" w:rsidP="009E56B6">
      <w:pPr>
        <w:autoSpaceDE w:val="0"/>
        <w:autoSpaceDN w:val="0"/>
        <w:adjustRightInd w:val="0"/>
        <w:spacing w:line="240" w:lineRule="auto"/>
        <w:ind w:left="364"/>
        <w:rPr>
          <w:rFonts w:cs="Arial"/>
          <w:i/>
          <w:sz w:val="20"/>
        </w:rPr>
      </w:pPr>
    </w:p>
    <w:p w14:paraId="33FB018E" w14:textId="77777777" w:rsidR="00B05572" w:rsidRPr="00B05572" w:rsidRDefault="00B05572" w:rsidP="00B47BA1">
      <w:pPr>
        <w:pStyle w:val="Frage-EinleitungText"/>
        <w:spacing w:before="0"/>
      </w:pPr>
      <w:r w:rsidRPr="00B05572">
        <w:t>Die Stadt Hamburg und die Metropolregion haben einen enormen Energieverbrauch, gerade im Bereich Strom und Wärme. Bedarf besteht in den vielen Privathaushalten, aber auch in Industrie, Gewerbe und anderen Unternehmen und Bereichen. Es ist daher notwendig, dass die Energieversorgung sowie der Ausbau der Lager, Versorgungsnetze und der sonstigen Infrastruktur den verschiedenen Anforderungen angepasst werden. Dabei muss auch für die Industrie und für das Gewerbe eine kontinuierliche Energieversorgung gewährleistet werden. Zudem bestehen die Herausforderungen, die mit dem Stichwort Energiewende verbunden sind.</w:t>
      </w:r>
    </w:p>
    <w:p w14:paraId="3F77670C" w14:textId="77777777" w:rsidR="00D67DA0" w:rsidRDefault="00B05572" w:rsidP="00A63189">
      <w:pPr>
        <w:pStyle w:val="Frage-EinleitungText"/>
      </w:pPr>
      <w:r w:rsidRPr="00B05572">
        <w:t>Vor diesem Hintergrund frage ich den Senat:</w:t>
      </w:r>
    </w:p>
    <w:p w14:paraId="2F3D17CD" w14:textId="77777777" w:rsidR="00CF40F8" w:rsidRDefault="00CF40F8" w:rsidP="001C3265">
      <w:pPr>
        <w:pStyle w:val="Frage-EinleitungText"/>
        <w:spacing w:before="0"/>
      </w:pPr>
    </w:p>
    <w:p w14:paraId="55C6F1A8" w14:textId="03A8086B" w:rsidR="00CF40F8" w:rsidRPr="00CF40F8" w:rsidRDefault="00CF40F8" w:rsidP="00B47BA1">
      <w:pPr>
        <w:pStyle w:val="Frage-EinleitungText"/>
        <w:spacing w:before="0"/>
        <w:ind w:left="0"/>
        <w:rPr>
          <w:i w:val="0"/>
        </w:rPr>
      </w:pPr>
      <w:r>
        <w:rPr>
          <w:i w:val="0"/>
        </w:rPr>
        <w:t>Der Senat beantwortet die Fragen teilweise auf der Grundlage von Auskünften der Stromnetz Hamburg GmbH (SNH) wie folgt:</w:t>
      </w:r>
    </w:p>
    <w:p w14:paraId="62B9159E" w14:textId="77777777" w:rsidR="003E2E94" w:rsidRDefault="00B05572" w:rsidP="00B47BA1">
      <w:pPr>
        <w:pStyle w:val="Frage-Nummerierung1"/>
        <w:ind w:left="1701" w:hanging="1701"/>
      </w:pPr>
      <w:r w:rsidRPr="00B05572">
        <w:t>Liegen dem Senat verlässliche Daten vor, wie hoch der jeweilige Anteil von Industriebetrieben, weiteren Unternehmen und Privathaushalten am Energieverbrauch ist, sowohl in der Stadt Hamburg als auch in der Metropolregion? Wenn ja, bitte in Terawattstunden (TWh) und gegliedert nach Nutzungsbereichen und Energieträgern für die letzten fünf Jahre darstellen. Wenn nein, auf welcher empirischen Grundlage trifft der Senat energiepolitische Entscheidungen?</w:t>
      </w:r>
    </w:p>
    <w:p w14:paraId="717F3B91" w14:textId="16F0BD57" w:rsidR="00A63189" w:rsidRPr="00A63189" w:rsidRDefault="00A63189" w:rsidP="00A63189">
      <w:pPr>
        <w:pStyle w:val="Frage-Nummerierung1"/>
        <w:numPr>
          <w:ilvl w:val="0"/>
          <w:numId w:val="0"/>
        </w:numPr>
        <w:rPr>
          <w:i w:val="0"/>
        </w:rPr>
      </w:pPr>
      <w:r w:rsidRPr="00A63189">
        <w:rPr>
          <w:i w:val="0"/>
        </w:rPr>
        <w:t>Das Statistikamt Nord erstellt für Hamburg eine jährliche Energiebilanz. Diese ist auf der Seite</w:t>
      </w:r>
      <w:r w:rsidR="001C3265">
        <w:rPr>
          <w:i w:val="0"/>
        </w:rPr>
        <w:t xml:space="preserve"> </w:t>
      </w:r>
      <w:hyperlink r:id="rId8" w:anchor="c3381" w:history="1">
        <w:r w:rsidR="001C3265" w:rsidRPr="00526F63">
          <w:rPr>
            <w:rStyle w:val="Hyperlink"/>
            <w:i w:val="0"/>
          </w:rPr>
          <w:t>https://www.statistik-nord.de/zahlen-fakten/umwelt-energie/energie#c3381</w:t>
        </w:r>
      </w:hyperlink>
      <w:r w:rsidR="001C3265">
        <w:rPr>
          <w:i w:val="0"/>
        </w:rPr>
        <w:t xml:space="preserve"> veröffentlicht. </w:t>
      </w:r>
    </w:p>
    <w:p w14:paraId="391D1C77" w14:textId="77777777" w:rsidR="00A63189" w:rsidRPr="00A63189" w:rsidRDefault="00A63189" w:rsidP="00A63189">
      <w:pPr>
        <w:pStyle w:val="Frage-Nummerierung1"/>
        <w:numPr>
          <w:ilvl w:val="0"/>
          <w:numId w:val="0"/>
        </w:numPr>
        <w:rPr>
          <w:i w:val="0"/>
        </w:rPr>
      </w:pPr>
      <w:r w:rsidRPr="00A63189">
        <w:rPr>
          <w:i w:val="0"/>
        </w:rPr>
        <w:t>Die aktuellste Bilanz ist aus dem Jahr 2020. Unter „Weitere Ausgaben“ können auch die Bilanzen der Vorjahre heruntergeladen werden. Zeile 55 der Bilanz enthält den Energieverbrauch der Industrie, Zeile 61 der privaten Haushalte und Zeile 62 der übrigen Unternehmen. Diese sind in den Sp</w:t>
      </w:r>
      <w:r>
        <w:rPr>
          <w:i w:val="0"/>
        </w:rPr>
        <w:t>alten nach Energieträgern aufge</w:t>
      </w:r>
      <w:r w:rsidRPr="00A63189">
        <w:rPr>
          <w:i w:val="0"/>
        </w:rPr>
        <w:t>schlüsselt. Die Daten können durch Multiplikation mit dem Faktor 0,000277778 von Terajoule in Terawattstunden umgerechnet werden.</w:t>
      </w:r>
    </w:p>
    <w:p w14:paraId="2CD9E590" w14:textId="6D9A0735" w:rsidR="003E2E94" w:rsidRPr="003E2E94" w:rsidRDefault="00FE4B42" w:rsidP="00A63189">
      <w:pPr>
        <w:pStyle w:val="Frage-Nummerierung1"/>
        <w:numPr>
          <w:ilvl w:val="0"/>
          <w:numId w:val="0"/>
        </w:numPr>
        <w:rPr>
          <w:i w:val="0"/>
        </w:rPr>
      </w:pPr>
      <w:r>
        <w:rPr>
          <w:i w:val="0"/>
        </w:rPr>
        <w:t xml:space="preserve">Weiter ausdifferenzierte </w:t>
      </w:r>
      <w:r w:rsidR="00A63189" w:rsidRPr="00A63189">
        <w:rPr>
          <w:i w:val="0"/>
        </w:rPr>
        <w:t>Daten zu Nutzungsbereichen liegen dem Senat nicht vor. Für die Metropolregion sind keine entsprechenden Daten verfügbar.</w:t>
      </w:r>
    </w:p>
    <w:p w14:paraId="3E48811B" w14:textId="77777777" w:rsidR="009E56B6" w:rsidRPr="006D2509" w:rsidRDefault="00B05572" w:rsidP="00B47BA1">
      <w:pPr>
        <w:pStyle w:val="Frage-Nummerierung1"/>
        <w:ind w:left="1701" w:hanging="1701"/>
      </w:pPr>
      <w:r w:rsidRPr="00B05572">
        <w:t>Wie viele Stromausfälle – auch im Millisekundenbereich – sind in den letzten fünf Jahren aufgetreten? Bitte nach Ort (Metropolregion/Stadt) sowie Verbrauchergruppe (Industrie, sonstige Unternehmen, Privathaushalte) und Datum aufschlüsseln. Zudem bitte Dauer und Ursache des jeweiligen Ausfalls angeben.</w:t>
      </w:r>
    </w:p>
    <w:p w14:paraId="3D0E6D23" w14:textId="77777777" w:rsidR="00CF40F8" w:rsidRPr="00CF40F8"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t>Die Bewertung der Versorgungszuverlässigkeit erfolgt über die kumulierte Dauer der Versorgungsunterbrechungen (Nichtverfügbarkeit) und wird in Form der international verwendeten DISQUAL-Kenngröße SAIDI (System Average Interruption Duration Index) ausgewertet.</w:t>
      </w:r>
    </w:p>
    <w:p w14:paraId="6D7DA3D7" w14:textId="3921611C" w:rsidR="00CF40F8" w:rsidRPr="00CF40F8"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lastRenderedPageBreak/>
        <w:t>Für Auswertungen gemäß den Festlegungen in der internationalen UNIPEDE-Expertengruppe DISQUAL werden nur die Störungen berücksichtigt, deren Versorgungsunterbrechungsdauer 3 Minuten überschreitet. Die Meldung von Versorgungsunterbrechungen an</w:t>
      </w:r>
      <w:r w:rsidR="00D465EE">
        <w:rPr>
          <w:rFonts w:eastAsia="Arial"/>
          <w:iCs/>
          <w:sz w:val="20"/>
          <w:lang w:eastAsia="en-US"/>
        </w:rPr>
        <w:t xml:space="preserve"> die Bundesnetzagentur </w:t>
      </w:r>
      <w:r w:rsidR="00C35094">
        <w:rPr>
          <w:rFonts w:eastAsia="Arial"/>
          <w:iCs/>
          <w:sz w:val="20"/>
          <w:lang w:eastAsia="en-US"/>
        </w:rPr>
        <w:t xml:space="preserve">(BNetzA) </w:t>
      </w:r>
      <w:r w:rsidRPr="00CF40F8">
        <w:rPr>
          <w:rFonts w:eastAsia="Arial"/>
          <w:iCs/>
          <w:sz w:val="20"/>
          <w:lang w:eastAsia="en-US"/>
        </w:rPr>
        <w:t>erfolgt ebenfalls nur für diese Störungen. Störungen unter 3 Minuten machen einen Anteil von unter 2% aus.</w:t>
      </w:r>
    </w:p>
    <w:p w14:paraId="08035DEE" w14:textId="6DCF7415" w:rsidR="00CF40F8" w:rsidRPr="00CF40F8"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t>Darüber hinaus gibt es kurze Spannungseinbrüche im Millisekundenbereich, die i.d.R. nicht von Kundinnen und Kunden wahrgenommen werden.</w:t>
      </w:r>
    </w:p>
    <w:p w14:paraId="04371974" w14:textId="0FF05E64" w:rsidR="00CF40F8" w:rsidRPr="00CF40F8"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t xml:space="preserve">Die Anzahl der Versorgungsunterbrechungen im Hamburger Stromnetz </w:t>
      </w:r>
      <w:r w:rsidR="00FE4B42">
        <w:rPr>
          <w:rFonts w:eastAsia="Arial"/>
          <w:iCs/>
          <w:sz w:val="20"/>
          <w:lang w:eastAsia="en-US"/>
        </w:rPr>
        <w:t>ist</w:t>
      </w:r>
      <w:r w:rsidR="00FE4B42" w:rsidRPr="00CF40F8">
        <w:rPr>
          <w:rFonts w:eastAsia="Arial"/>
          <w:iCs/>
          <w:sz w:val="20"/>
          <w:lang w:eastAsia="en-US"/>
        </w:rPr>
        <w:t xml:space="preserve"> </w:t>
      </w:r>
      <w:r w:rsidRPr="00CF40F8">
        <w:rPr>
          <w:rFonts w:eastAsia="Arial"/>
          <w:iCs/>
          <w:sz w:val="20"/>
          <w:lang w:eastAsia="en-US"/>
        </w:rPr>
        <w:t>in den vergangenen Jahren bis auf statistischste Schwankungen im Wesentlichen konstant. Die Daten aus den Jahren 2</w:t>
      </w:r>
      <w:r w:rsidR="00D465EE">
        <w:rPr>
          <w:rFonts w:eastAsia="Arial"/>
          <w:iCs/>
          <w:sz w:val="20"/>
          <w:lang w:eastAsia="en-US"/>
        </w:rPr>
        <w:t>017 bis 2021 können der Tabelle 1 entnommen werden</w:t>
      </w:r>
      <w:r w:rsidRPr="00CF40F8">
        <w:rPr>
          <w:rFonts w:eastAsia="Arial"/>
          <w:iCs/>
          <w:sz w:val="20"/>
          <w:lang w:eastAsia="en-US"/>
        </w:rPr>
        <w:t>.</w:t>
      </w:r>
    </w:p>
    <w:p w14:paraId="50D82E23" w14:textId="419E2718" w:rsidR="00CF40F8" w:rsidRPr="00CF40F8"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t>Die Erfassung von Störungen erfolgt entsprechend der technischen Topologie des Hamburger Verteilungsnetzes und folgt den Anforderungen einer umgehenden Entstörung und den gesetzlichen Meldepflichten. Die Netzstruktur des Verteilungsnetzes der SNH folgt nicht den Verwaltungsstrukturen der Bezirke, Stadt- und Ortsteile. Daher ist eine Darstellung über die 104 Stadt- bzw. 181 Ortsteile nicht möglich.</w:t>
      </w:r>
    </w:p>
    <w:p w14:paraId="07D419CB" w14:textId="2C9C7C69" w:rsidR="00CF40F8" w:rsidRPr="001C3265" w:rsidRDefault="00CF40F8" w:rsidP="001C3265">
      <w:pPr>
        <w:spacing w:before="240" w:line="240" w:lineRule="auto"/>
        <w:jc w:val="both"/>
        <w:outlineLvl w:val="2"/>
        <w:rPr>
          <w:rFonts w:eastAsia="Arial"/>
          <w:iCs/>
          <w:sz w:val="20"/>
          <w:lang w:eastAsia="en-US"/>
        </w:rPr>
      </w:pPr>
      <w:r w:rsidRPr="00CF40F8">
        <w:rPr>
          <w:rFonts w:eastAsia="Arial"/>
          <w:iCs/>
          <w:sz w:val="20"/>
          <w:lang w:eastAsia="en-US"/>
        </w:rPr>
        <w:t>Die Metropolregion Hamburg mit deren Versorgungsgebieten liegt nicht in der Verantwortung der SNH.</w:t>
      </w:r>
    </w:p>
    <w:p w14:paraId="6EEE3A37" w14:textId="162738C3" w:rsidR="00CF40F8" w:rsidRPr="00CF40F8" w:rsidRDefault="00CF40F8" w:rsidP="001C3265">
      <w:pPr>
        <w:keepNext/>
        <w:spacing w:before="120" w:after="120" w:line="240" w:lineRule="auto"/>
        <w:rPr>
          <w:rFonts w:eastAsia="Arial"/>
          <w:iCs/>
          <w:color w:val="000000"/>
          <w:sz w:val="18"/>
          <w:szCs w:val="18"/>
          <w:lang w:eastAsia="en-US"/>
        </w:rPr>
      </w:pPr>
      <w:r w:rsidRPr="00CF40F8">
        <w:rPr>
          <w:rFonts w:eastAsia="Arial"/>
          <w:iCs/>
          <w:color w:val="000000"/>
          <w:sz w:val="18"/>
          <w:szCs w:val="18"/>
          <w:lang w:eastAsia="en-US"/>
        </w:rPr>
        <w:t xml:space="preserve">Tabelle </w:t>
      </w:r>
      <w:r w:rsidRPr="00CF40F8">
        <w:rPr>
          <w:rFonts w:eastAsia="Arial"/>
          <w:iCs/>
          <w:color w:val="000000"/>
          <w:sz w:val="18"/>
          <w:szCs w:val="18"/>
          <w:lang w:eastAsia="en-US"/>
        </w:rPr>
        <w:fldChar w:fldCharType="begin"/>
      </w:r>
      <w:r w:rsidRPr="00CF40F8">
        <w:rPr>
          <w:rFonts w:eastAsia="Arial"/>
          <w:iCs/>
          <w:color w:val="000000"/>
          <w:sz w:val="18"/>
          <w:szCs w:val="18"/>
          <w:lang w:eastAsia="en-US"/>
        </w:rPr>
        <w:instrText xml:space="preserve"> SEQ Tabelle \* ARABIC </w:instrText>
      </w:r>
      <w:r w:rsidRPr="00CF40F8">
        <w:rPr>
          <w:rFonts w:eastAsia="Arial"/>
          <w:iCs/>
          <w:color w:val="000000"/>
          <w:sz w:val="18"/>
          <w:szCs w:val="18"/>
          <w:lang w:eastAsia="en-US"/>
        </w:rPr>
        <w:fldChar w:fldCharType="separate"/>
      </w:r>
      <w:r w:rsidR="000E3266">
        <w:rPr>
          <w:rFonts w:eastAsia="Arial"/>
          <w:iCs/>
          <w:noProof/>
          <w:color w:val="000000"/>
          <w:sz w:val="18"/>
          <w:szCs w:val="18"/>
          <w:lang w:eastAsia="en-US"/>
        </w:rPr>
        <w:t>1</w:t>
      </w:r>
      <w:r w:rsidRPr="00CF40F8">
        <w:rPr>
          <w:rFonts w:eastAsia="Arial"/>
          <w:iCs/>
          <w:noProof/>
          <w:color w:val="000000"/>
          <w:sz w:val="18"/>
          <w:szCs w:val="18"/>
          <w:lang w:eastAsia="en-US"/>
        </w:rPr>
        <w:fldChar w:fldCharType="end"/>
      </w:r>
      <w:r w:rsidRPr="00CF40F8">
        <w:rPr>
          <w:rFonts w:eastAsia="Arial"/>
          <w:iCs/>
          <w:color w:val="000000"/>
          <w:sz w:val="18"/>
          <w:szCs w:val="18"/>
          <w:lang w:eastAsia="en-US"/>
        </w:rPr>
        <w:t>: Störungsgeschehen gesamt Mittel- und Niederspannung 2017-2021</w:t>
      </w:r>
      <w:r w:rsidR="001C3265">
        <w:rPr>
          <w:rFonts w:eastAsia="Arial"/>
          <w:iCs/>
          <w:color w:val="000000"/>
          <w:sz w:val="18"/>
          <w:szCs w:val="18"/>
          <w:lang w:eastAsia="en-US"/>
        </w:rPr>
        <w:t>:</w:t>
      </w:r>
    </w:p>
    <w:tbl>
      <w:tblPr>
        <w:tblStyle w:val="Gitternetztabelle41"/>
        <w:tblW w:w="8931" w:type="dxa"/>
        <w:tblInd w:w="-5" w:type="dxa"/>
        <w:tblLook w:val="04A0" w:firstRow="1" w:lastRow="0" w:firstColumn="1" w:lastColumn="0" w:noHBand="0" w:noVBand="1"/>
      </w:tblPr>
      <w:tblGrid>
        <w:gridCol w:w="2552"/>
        <w:gridCol w:w="1276"/>
        <w:gridCol w:w="1275"/>
        <w:gridCol w:w="1276"/>
        <w:gridCol w:w="1276"/>
        <w:gridCol w:w="1276"/>
      </w:tblGrid>
      <w:tr w:rsidR="00CF40F8" w:rsidRPr="00CF40F8" w14:paraId="38CA9CBE" w14:textId="77777777" w:rsidTr="001C3265">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443C3608" w14:textId="77777777" w:rsidR="00CF40F8" w:rsidRPr="00CF40F8" w:rsidRDefault="00CF40F8" w:rsidP="00CF40F8">
            <w:pPr>
              <w:spacing w:before="240" w:line="240" w:lineRule="auto"/>
              <w:jc w:val="both"/>
              <w:outlineLvl w:val="2"/>
              <w:rPr>
                <w:iCs/>
                <w:sz w:val="20"/>
                <w:lang w:eastAsia="en-US"/>
              </w:rPr>
            </w:pPr>
          </w:p>
        </w:tc>
        <w:tc>
          <w:tcPr>
            <w:tcW w:w="1276" w:type="dxa"/>
            <w:shd w:val="clear" w:color="auto" w:fill="auto"/>
          </w:tcPr>
          <w:p w14:paraId="54F1BA08"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2017</w:t>
            </w:r>
          </w:p>
        </w:tc>
        <w:tc>
          <w:tcPr>
            <w:tcW w:w="1275" w:type="dxa"/>
            <w:shd w:val="clear" w:color="auto" w:fill="auto"/>
          </w:tcPr>
          <w:p w14:paraId="587A98AD"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2018</w:t>
            </w:r>
          </w:p>
        </w:tc>
        <w:tc>
          <w:tcPr>
            <w:tcW w:w="1276" w:type="dxa"/>
            <w:shd w:val="clear" w:color="auto" w:fill="auto"/>
          </w:tcPr>
          <w:p w14:paraId="72400188"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2019</w:t>
            </w:r>
          </w:p>
        </w:tc>
        <w:tc>
          <w:tcPr>
            <w:tcW w:w="1276" w:type="dxa"/>
            <w:shd w:val="clear" w:color="auto" w:fill="auto"/>
          </w:tcPr>
          <w:p w14:paraId="1C87B2B3"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2020</w:t>
            </w:r>
          </w:p>
        </w:tc>
        <w:tc>
          <w:tcPr>
            <w:tcW w:w="1276" w:type="dxa"/>
            <w:shd w:val="clear" w:color="auto" w:fill="auto"/>
          </w:tcPr>
          <w:p w14:paraId="1CDF2CE9"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2021</w:t>
            </w:r>
          </w:p>
        </w:tc>
      </w:tr>
      <w:tr w:rsidR="00CF40F8" w:rsidRPr="00CF40F8" w14:paraId="51C30742" w14:textId="77777777" w:rsidTr="001C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FEC0468" w14:textId="77777777" w:rsidR="00CF40F8" w:rsidRPr="00CF40F8" w:rsidRDefault="00CF40F8" w:rsidP="00B51251">
            <w:pPr>
              <w:spacing w:line="240" w:lineRule="auto"/>
              <w:outlineLvl w:val="2"/>
              <w:rPr>
                <w:iCs/>
                <w:sz w:val="20"/>
                <w:lang w:eastAsia="en-US"/>
              </w:rPr>
            </w:pPr>
            <w:r w:rsidRPr="00CF40F8">
              <w:rPr>
                <w:iCs/>
                <w:sz w:val="20"/>
                <w:lang w:eastAsia="en-US"/>
              </w:rPr>
              <w:t>Anzahl Versorgungsunterbrechungen [Stück]</w:t>
            </w:r>
          </w:p>
        </w:tc>
        <w:tc>
          <w:tcPr>
            <w:tcW w:w="1276" w:type="dxa"/>
          </w:tcPr>
          <w:p w14:paraId="2C71EC63"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1.847</w:t>
            </w:r>
          </w:p>
        </w:tc>
        <w:tc>
          <w:tcPr>
            <w:tcW w:w="1275" w:type="dxa"/>
          </w:tcPr>
          <w:p w14:paraId="29866D4E"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2.184</w:t>
            </w:r>
          </w:p>
        </w:tc>
        <w:tc>
          <w:tcPr>
            <w:tcW w:w="1276" w:type="dxa"/>
          </w:tcPr>
          <w:p w14:paraId="251C0CEC"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1.823</w:t>
            </w:r>
          </w:p>
        </w:tc>
        <w:tc>
          <w:tcPr>
            <w:tcW w:w="1276" w:type="dxa"/>
          </w:tcPr>
          <w:p w14:paraId="40288D6E"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2.014</w:t>
            </w:r>
          </w:p>
        </w:tc>
        <w:tc>
          <w:tcPr>
            <w:tcW w:w="1276" w:type="dxa"/>
          </w:tcPr>
          <w:p w14:paraId="6EC68AAD"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1.937</w:t>
            </w:r>
          </w:p>
        </w:tc>
      </w:tr>
      <w:tr w:rsidR="00CF40F8" w:rsidRPr="00CF40F8" w14:paraId="58CBECC6" w14:textId="77777777" w:rsidTr="001C3265">
        <w:tc>
          <w:tcPr>
            <w:cnfStyle w:val="001000000000" w:firstRow="0" w:lastRow="0" w:firstColumn="1" w:lastColumn="0" w:oddVBand="0" w:evenVBand="0" w:oddHBand="0" w:evenHBand="0" w:firstRowFirstColumn="0" w:firstRowLastColumn="0" w:lastRowFirstColumn="0" w:lastRowLastColumn="0"/>
            <w:tcW w:w="2552" w:type="dxa"/>
          </w:tcPr>
          <w:p w14:paraId="41FA44EB" w14:textId="77777777" w:rsidR="00CF40F8" w:rsidRPr="00CF40F8" w:rsidRDefault="00CF40F8" w:rsidP="00B51251">
            <w:pPr>
              <w:spacing w:line="240" w:lineRule="auto"/>
              <w:outlineLvl w:val="2"/>
              <w:rPr>
                <w:iCs/>
                <w:sz w:val="20"/>
                <w:lang w:eastAsia="en-US"/>
              </w:rPr>
            </w:pPr>
            <w:r w:rsidRPr="00CF40F8">
              <w:rPr>
                <w:i/>
                <w:sz w:val="20"/>
                <w:lang w:eastAsia="en-US"/>
              </w:rPr>
              <w:t>Gewerbekunden [Stück]</w:t>
            </w:r>
          </w:p>
        </w:tc>
        <w:tc>
          <w:tcPr>
            <w:tcW w:w="1276" w:type="dxa"/>
          </w:tcPr>
          <w:p w14:paraId="3932D253"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18.708</w:t>
            </w:r>
          </w:p>
        </w:tc>
        <w:tc>
          <w:tcPr>
            <w:tcW w:w="1275" w:type="dxa"/>
          </w:tcPr>
          <w:p w14:paraId="6DBB83A8"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24.886</w:t>
            </w:r>
          </w:p>
        </w:tc>
        <w:tc>
          <w:tcPr>
            <w:tcW w:w="1276" w:type="dxa"/>
          </w:tcPr>
          <w:p w14:paraId="4DB6A523"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22.712</w:t>
            </w:r>
          </w:p>
        </w:tc>
        <w:tc>
          <w:tcPr>
            <w:tcW w:w="1276" w:type="dxa"/>
          </w:tcPr>
          <w:p w14:paraId="72EA1923"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18.480</w:t>
            </w:r>
          </w:p>
        </w:tc>
        <w:tc>
          <w:tcPr>
            <w:tcW w:w="1276" w:type="dxa"/>
          </w:tcPr>
          <w:p w14:paraId="19D3435C"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22.925</w:t>
            </w:r>
          </w:p>
        </w:tc>
      </w:tr>
      <w:tr w:rsidR="00CF40F8" w:rsidRPr="00CF40F8" w14:paraId="2A60CBBF" w14:textId="77777777" w:rsidTr="001C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47454B" w14:textId="77777777" w:rsidR="00CF40F8" w:rsidRPr="00CF40F8" w:rsidRDefault="00CF40F8" w:rsidP="00B51251">
            <w:pPr>
              <w:spacing w:line="240" w:lineRule="auto"/>
              <w:outlineLvl w:val="2"/>
              <w:rPr>
                <w:iCs/>
                <w:sz w:val="20"/>
                <w:lang w:eastAsia="en-US"/>
              </w:rPr>
            </w:pPr>
            <w:r w:rsidRPr="00CF40F8">
              <w:rPr>
                <w:i/>
                <w:sz w:val="20"/>
                <w:lang w:eastAsia="en-US"/>
              </w:rPr>
              <w:t>Haushaltkunden [Stück]</w:t>
            </w:r>
          </w:p>
        </w:tc>
        <w:tc>
          <w:tcPr>
            <w:tcW w:w="1276" w:type="dxa"/>
          </w:tcPr>
          <w:p w14:paraId="233A0E29"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217.540</w:t>
            </w:r>
          </w:p>
        </w:tc>
        <w:tc>
          <w:tcPr>
            <w:tcW w:w="1275" w:type="dxa"/>
          </w:tcPr>
          <w:p w14:paraId="053E126A"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227.003</w:t>
            </w:r>
          </w:p>
        </w:tc>
        <w:tc>
          <w:tcPr>
            <w:tcW w:w="1276" w:type="dxa"/>
          </w:tcPr>
          <w:p w14:paraId="395525FB"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248.350</w:t>
            </w:r>
          </w:p>
        </w:tc>
        <w:tc>
          <w:tcPr>
            <w:tcW w:w="1276" w:type="dxa"/>
          </w:tcPr>
          <w:p w14:paraId="129ECDE0"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220.223</w:t>
            </w:r>
          </w:p>
        </w:tc>
        <w:tc>
          <w:tcPr>
            <w:tcW w:w="1276" w:type="dxa"/>
          </w:tcPr>
          <w:p w14:paraId="714CCCFC"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234.709</w:t>
            </w:r>
          </w:p>
        </w:tc>
      </w:tr>
      <w:tr w:rsidR="00CF40F8" w:rsidRPr="00CF40F8" w14:paraId="0F956DB1" w14:textId="77777777" w:rsidTr="001C3265">
        <w:tc>
          <w:tcPr>
            <w:cnfStyle w:val="001000000000" w:firstRow="0" w:lastRow="0" w:firstColumn="1" w:lastColumn="0" w:oddVBand="0" w:evenVBand="0" w:oddHBand="0" w:evenHBand="0" w:firstRowFirstColumn="0" w:firstRowLastColumn="0" w:lastRowFirstColumn="0" w:lastRowLastColumn="0"/>
            <w:tcW w:w="2552" w:type="dxa"/>
          </w:tcPr>
          <w:p w14:paraId="5E751CF3" w14:textId="77777777" w:rsidR="00CF40F8" w:rsidRPr="00CF40F8" w:rsidRDefault="00CF40F8" w:rsidP="00B51251">
            <w:pPr>
              <w:spacing w:line="240" w:lineRule="auto"/>
              <w:outlineLvl w:val="2"/>
              <w:rPr>
                <w:iCs/>
                <w:sz w:val="20"/>
                <w:lang w:eastAsia="en-US"/>
              </w:rPr>
            </w:pPr>
            <w:r w:rsidRPr="00CF40F8">
              <w:rPr>
                <w:i/>
                <w:sz w:val="20"/>
                <w:lang w:eastAsia="en-US"/>
              </w:rPr>
              <w:t>Durchschnittliche Unterbrechungsdauer (CAIDI*) [min]</w:t>
            </w:r>
          </w:p>
        </w:tc>
        <w:tc>
          <w:tcPr>
            <w:tcW w:w="1276" w:type="dxa"/>
          </w:tcPr>
          <w:p w14:paraId="4DE489D1"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58,5</w:t>
            </w:r>
          </w:p>
        </w:tc>
        <w:tc>
          <w:tcPr>
            <w:tcW w:w="1275" w:type="dxa"/>
          </w:tcPr>
          <w:p w14:paraId="5387F436"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51,7</w:t>
            </w:r>
          </w:p>
        </w:tc>
        <w:tc>
          <w:tcPr>
            <w:tcW w:w="1276" w:type="dxa"/>
          </w:tcPr>
          <w:p w14:paraId="21B09AEE"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44,6</w:t>
            </w:r>
          </w:p>
        </w:tc>
        <w:tc>
          <w:tcPr>
            <w:tcW w:w="1276" w:type="dxa"/>
          </w:tcPr>
          <w:p w14:paraId="0F3451BD"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51,5</w:t>
            </w:r>
          </w:p>
        </w:tc>
        <w:tc>
          <w:tcPr>
            <w:tcW w:w="1276" w:type="dxa"/>
          </w:tcPr>
          <w:p w14:paraId="653078C1"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50,3</w:t>
            </w:r>
          </w:p>
        </w:tc>
      </w:tr>
    </w:tbl>
    <w:p w14:paraId="729DD027" w14:textId="77777777" w:rsidR="00CF40F8" w:rsidRDefault="00CF40F8" w:rsidP="00CF40F8">
      <w:pPr>
        <w:spacing w:before="240" w:line="240" w:lineRule="auto"/>
        <w:jc w:val="both"/>
        <w:outlineLvl w:val="2"/>
        <w:rPr>
          <w:rFonts w:eastAsia="Arial"/>
          <w:iCs/>
          <w:sz w:val="20"/>
          <w:lang w:val="en-GB" w:eastAsia="en-US"/>
        </w:rPr>
      </w:pPr>
      <w:r w:rsidRPr="00CF40F8">
        <w:rPr>
          <w:rFonts w:eastAsia="Arial"/>
          <w:iCs/>
          <w:sz w:val="20"/>
          <w:lang w:val="en-GB" w:eastAsia="en-US"/>
        </w:rPr>
        <w:t>* CAIDI: Customer Average Interruption Duration Index</w:t>
      </w:r>
    </w:p>
    <w:p w14:paraId="2B47527E" w14:textId="1BC27A1C" w:rsidR="00CF40F8" w:rsidRPr="00CF40F8" w:rsidRDefault="00CF40F8" w:rsidP="00CF40F8">
      <w:pPr>
        <w:spacing w:line="240" w:lineRule="auto"/>
        <w:jc w:val="both"/>
        <w:outlineLvl w:val="2"/>
        <w:rPr>
          <w:rFonts w:eastAsia="Arial"/>
          <w:iCs/>
          <w:sz w:val="20"/>
          <w:lang w:eastAsia="en-US"/>
        </w:rPr>
      </w:pPr>
      <w:r w:rsidRPr="00CF40F8">
        <w:rPr>
          <w:rFonts w:eastAsia="Arial"/>
          <w:iCs/>
          <w:sz w:val="20"/>
          <w:lang w:eastAsia="en-US"/>
        </w:rPr>
        <w:t>Die Kennzahl gibt die durchschnittliche Ausfalldauer an, die ein</w:t>
      </w:r>
      <w:r>
        <w:rPr>
          <w:rFonts w:eastAsia="Arial"/>
          <w:iCs/>
          <w:sz w:val="20"/>
          <w:lang w:eastAsia="en-US"/>
        </w:rPr>
        <w:t>e bestimmte Kundin bzw. ein bestimmter Kunde</w:t>
      </w:r>
      <w:r w:rsidRPr="00CF40F8">
        <w:rPr>
          <w:rFonts w:eastAsia="Arial"/>
          <w:iCs/>
          <w:sz w:val="20"/>
          <w:lang w:eastAsia="en-US"/>
        </w:rPr>
        <w:t xml:space="preserve"> erleben würde, und wird oft auch als durchschnittliche Wiederherstellungszeit bezeichnet.</w:t>
      </w:r>
    </w:p>
    <w:p w14:paraId="6A347C05" w14:textId="77777777" w:rsidR="00CF40F8" w:rsidRPr="00CF40F8"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t>Die nachfolgenden Tabellen (Tabelle 2 und 3) zeigen die prozentuale Verteilung der Störungsanlässe in der Mittel- und Niederspannung. Die Gründe der Versorgungsunterbrechungen sind neben technischen Defekten (Zuständigkeit Netzbetreiber), atmosphärischen Einwirkungen oder Rückwirkungsstörungen aus vorgelagerten Netzen auch zu einem erheblichen Teil mechanische Einwirkung durch Tiefbauarbeiten (Einwirkung Dritter).</w:t>
      </w:r>
    </w:p>
    <w:p w14:paraId="2EC64DA4" w14:textId="0D7119F5" w:rsidR="00CF40F8" w:rsidRPr="00B51251" w:rsidRDefault="00CF40F8" w:rsidP="00CF40F8">
      <w:pPr>
        <w:spacing w:before="240" w:line="240" w:lineRule="auto"/>
        <w:jc w:val="both"/>
        <w:outlineLvl w:val="2"/>
        <w:rPr>
          <w:rFonts w:eastAsia="Arial"/>
          <w:iCs/>
          <w:sz w:val="20"/>
          <w:lang w:eastAsia="en-US"/>
        </w:rPr>
      </w:pPr>
      <w:r w:rsidRPr="00CF40F8">
        <w:rPr>
          <w:rFonts w:eastAsia="Arial"/>
          <w:iCs/>
          <w:sz w:val="20"/>
          <w:lang w:eastAsia="en-US"/>
        </w:rPr>
        <w:t>Grundsätzlich gibt es über die Jahre keine signifikanten Veränderungen der Störungsanlässe. Diese unterliegen lediglich statistischen Schwankungen.</w:t>
      </w:r>
    </w:p>
    <w:p w14:paraId="089D4B5F" w14:textId="52F2DD7F" w:rsidR="00CF40F8" w:rsidRPr="00CF40F8" w:rsidRDefault="00CF40F8" w:rsidP="001C3265">
      <w:pPr>
        <w:keepNext/>
        <w:spacing w:before="120" w:after="120" w:line="240" w:lineRule="auto"/>
        <w:rPr>
          <w:rFonts w:eastAsia="Arial"/>
          <w:iCs/>
          <w:color w:val="000000"/>
          <w:sz w:val="18"/>
          <w:szCs w:val="18"/>
          <w:lang w:eastAsia="en-US"/>
        </w:rPr>
      </w:pPr>
      <w:r w:rsidRPr="00CF40F8">
        <w:rPr>
          <w:rFonts w:eastAsia="Arial"/>
          <w:iCs/>
          <w:color w:val="000000"/>
          <w:sz w:val="18"/>
          <w:szCs w:val="18"/>
          <w:lang w:eastAsia="en-US"/>
        </w:rPr>
        <w:t xml:space="preserve">Tabelle </w:t>
      </w:r>
      <w:r w:rsidRPr="00CF40F8">
        <w:rPr>
          <w:rFonts w:eastAsia="Arial"/>
          <w:iCs/>
          <w:color w:val="000000"/>
          <w:sz w:val="18"/>
          <w:szCs w:val="18"/>
          <w:lang w:eastAsia="en-US"/>
        </w:rPr>
        <w:fldChar w:fldCharType="begin"/>
      </w:r>
      <w:r w:rsidRPr="00CF40F8">
        <w:rPr>
          <w:rFonts w:eastAsia="Arial"/>
          <w:iCs/>
          <w:color w:val="000000"/>
          <w:sz w:val="18"/>
          <w:szCs w:val="18"/>
          <w:lang w:eastAsia="en-US"/>
        </w:rPr>
        <w:instrText xml:space="preserve"> SEQ Tabelle \* ARABIC </w:instrText>
      </w:r>
      <w:r w:rsidRPr="00CF40F8">
        <w:rPr>
          <w:rFonts w:eastAsia="Arial"/>
          <w:iCs/>
          <w:color w:val="000000"/>
          <w:sz w:val="18"/>
          <w:szCs w:val="18"/>
          <w:lang w:eastAsia="en-US"/>
        </w:rPr>
        <w:fldChar w:fldCharType="separate"/>
      </w:r>
      <w:r w:rsidR="000E3266">
        <w:rPr>
          <w:rFonts w:eastAsia="Arial"/>
          <w:iCs/>
          <w:noProof/>
          <w:color w:val="000000"/>
          <w:sz w:val="18"/>
          <w:szCs w:val="18"/>
          <w:lang w:eastAsia="en-US"/>
        </w:rPr>
        <w:t>2</w:t>
      </w:r>
      <w:r w:rsidRPr="00CF40F8">
        <w:rPr>
          <w:rFonts w:eastAsia="Arial"/>
          <w:iCs/>
          <w:noProof/>
          <w:color w:val="000000"/>
          <w:sz w:val="18"/>
          <w:szCs w:val="18"/>
          <w:lang w:eastAsia="en-US"/>
        </w:rPr>
        <w:fldChar w:fldCharType="end"/>
      </w:r>
      <w:r w:rsidRPr="00CF40F8">
        <w:rPr>
          <w:rFonts w:eastAsia="Arial"/>
          <w:iCs/>
          <w:color w:val="000000"/>
          <w:sz w:val="18"/>
          <w:szCs w:val="18"/>
          <w:lang w:eastAsia="en-US"/>
        </w:rPr>
        <w:t>: Prozentuale Aufteilung Störungsanlasse Mittelspannung 2017-2021</w:t>
      </w:r>
    </w:p>
    <w:tbl>
      <w:tblPr>
        <w:tblStyle w:val="Gitternetztabelle41"/>
        <w:tblW w:w="9039" w:type="dxa"/>
        <w:tblInd w:w="-113" w:type="dxa"/>
        <w:tblLook w:val="04A0" w:firstRow="1" w:lastRow="0" w:firstColumn="1" w:lastColumn="0" w:noHBand="0" w:noVBand="1"/>
      </w:tblPr>
      <w:tblGrid>
        <w:gridCol w:w="2660"/>
        <w:gridCol w:w="1276"/>
        <w:gridCol w:w="1275"/>
        <w:gridCol w:w="1276"/>
        <w:gridCol w:w="1276"/>
        <w:gridCol w:w="1276"/>
      </w:tblGrid>
      <w:tr w:rsidR="00CF40F8" w:rsidRPr="00CF40F8" w14:paraId="20D9BFF2" w14:textId="77777777" w:rsidTr="001C3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561373C" w14:textId="77777777" w:rsidR="00CF40F8" w:rsidRPr="002A38BD" w:rsidRDefault="00CF40F8" w:rsidP="00CF40F8">
            <w:pPr>
              <w:spacing w:before="240" w:line="240" w:lineRule="auto"/>
              <w:jc w:val="both"/>
              <w:outlineLvl w:val="2"/>
              <w:rPr>
                <w:iCs/>
                <w:color w:val="auto"/>
                <w:sz w:val="20"/>
                <w:lang w:eastAsia="en-US"/>
              </w:rPr>
            </w:pPr>
          </w:p>
        </w:tc>
        <w:tc>
          <w:tcPr>
            <w:tcW w:w="1276" w:type="dxa"/>
            <w:shd w:val="clear" w:color="auto" w:fill="auto"/>
          </w:tcPr>
          <w:p w14:paraId="4D90A35B"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2017</w:t>
            </w:r>
          </w:p>
        </w:tc>
        <w:tc>
          <w:tcPr>
            <w:tcW w:w="1275" w:type="dxa"/>
            <w:shd w:val="clear" w:color="auto" w:fill="auto"/>
          </w:tcPr>
          <w:p w14:paraId="40D7BA7E"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2018</w:t>
            </w:r>
          </w:p>
        </w:tc>
        <w:tc>
          <w:tcPr>
            <w:tcW w:w="1276" w:type="dxa"/>
            <w:shd w:val="clear" w:color="auto" w:fill="auto"/>
          </w:tcPr>
          <w:p w14:paraId="2F1A44D9"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2019</w:t>
            </w:r>
          </w:p>
        </w:tc>
        <w:tc>
          <w:tcPr>
            <w:tcW w:w="1276" w:type="dxa"/>
            <w:shd w:val="clear" w:color="auto" w:fill="auto"/>
          </w:tcPr>
          <w:p w14:paraId="1DD000D7"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2020</w:t>
            </w:r>
          </w:p>
        </w:tc>
        <w:tc>
          <w:tcPr>
            <w:tcW w:w="1276" w:type="dxa"/>
            <w:shd w:val="clear" w:color="auto" w:fill="auto"/>
          </w:tcPr>
          <w:p w14:paraId="4FBD00EF"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2021</w:t>
            </w:r>
          </w:p>
        </w:tc>
      </w:tr>
      <w:tr w:rsidR="00CF40F8" w:rsidRPr="00CF40F8" w14:paraId="0BDF3942" w14:textId="77777777" w:rsidTr="001C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CA568B3" w14:textId="77777777" w:rsidR="00CF40F8" w:rsidRPr="00CF40F8" w:rsidRDefault="00CF40F8" w:rsidP="00B51251">
            <w:pPr>
              <w:spacing w:line="240" w:lineRule="auto"/>
              <w:jc w:val="both"/>
              <w:outlineLvl w:val="2"/>
              <w:rPr>
                <w:iCs/>
                <w:sz w:val="20"/>
                <w:lang w:eastAsia="en-US"/>
              </w:rPr>
            </w:pPr>
            <w:r w:rsidRPr="00CF40F8">
              <w:rPr>
                <w:iCs/>
                <w:sz w:val="20"/>
                <w:lang w:eastAsia="en-US"/>
              </w:rPr>
              <w:t>Atmosphärische Einwirkungen</w:t>
            </w:r>
          </w:p>
        </w:tc>
        <w:tc>
          <w:tcPr>
            <w:tcW w:w="1276" w:type="dxa"/>
          </w:tcPr>
          <w:p w14:paraId="50AE874C"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0,0 %</w:t>
            </w:r>
          </w:p>
        </w:tc>
        <w:tc>
          <w:tcPr>
            <w:tcW w:w="1275" w:type="dxa"/>
          </w:tcPr>
          <w:p w14:paraId="52895A81"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1,0 %</w:t>
            </w:r>
          </w:p>
        </w:tc>
        <w:tc>
          <w:tcPr>
            <w:tcW w:w="1276" w:type="dxa"/>
          </w:tcPr>
          <w:p w14:paraId="7A61F647"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0,6 %</w:t>
            </w:r>
          </w:p>
        </w:tc>
        <w:tc>
          <w:tcPr>
            <w:tcW w:w="1276" w:type="dxa"/>
          </w:tcPr>
          <w:p w14:paraId="1B3205D2"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0,0 %</w:t>
            </w:r>
          </w:p>
        </w:tc>
        <w:tc>
          <w:tcPr>
            <w:tcW w:w="1276" w:type="dxa"/>
          </w:tcPr>
          <w:p w14:paraId="6915FEDC"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0,6 %</w:t>
            </w:r>
          </w:p>
        </w:tc>
      </w:tr>
      <w:tr w:rsidR="00CF40F8" w:rsidRPr="00CF40F8" w14:paraId="5BBD8E3B" w14:textId="77777777" w:rsidTr="001C3265">
        <w:tc>
          <w:tcPr>
            <w:cnfStyle w:val="001000000000" w:firstRow="0" w:lastRow="0" w:firstColumn="1" w:lastColumn="0" w:oddVBand="0" w:evenVBand="0" w:oddHBand="0" w:evenHBand="0" w:firstRowFirstColumn="0" w:firstRowLastColumn="0" w:lastRowFirstColumn="0" w:lastRowLastColumn="0"/>
            <w:tcW w:w="2660" w:type="dxa"/>
          </w:tcPr>
          <w:p w14:paraId="0DA44BB5" w14:textId="77777777" w:rsidR="00CF40F8" w:rsidRPr="00CF40F8" w:rsidRDefault="00CF40F8" w:rsidP="00B51251">
            <w:pPr>
              <w:spacing w:line="240" w:lineRule="auto"/>
              <w:jc w:val="both"/>
              <w:outlineLvl w:val="2"/>
              <w:rPr>
                <w:iCs/>
                <w:sz w:val="20"/>
                <w:lang w:eastAsia="en-US"/>
              </w:rPr>
            </w:pPr>
            <w:r w:rsidRPr="00CF40F8">
              <w:rPr>
                <w:iCs/>
                <w:sz w:val="20"/>
                <w:lang w:eastAsia="en-US"/>
              </w:rPr>
              <w:t>Zuständigkeit Netzbetreiber/ kein erkennbarer Anlass</w:t>
            </w:r>
          </w:p>
        </w:tc>
        <w:tc>
          <w:tcPr>
            <w:tcW w:w="1276" w:type="dxa"/>
          </w:tcPr>
          <w:p w14:paraId="72F9111A"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78,5 %</w:t>
            </w:r>
          </w:p>
        </w:tc>
        <w:tc>
          <w:tcPr>
            <w:tcW w:w="1275" w:type="dxa"/>
          </w:tcPr>
          <w:p w14:paraId="5812150B"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88,7 %</w:t>
            </w:r>
          </w:p>
        </w:tc>
        <w:tc>
          <w:tcPr>
            <w:tcW w:w="1276" w:type="dxa"/>
          </w:tcPr>
          <w:p w14:paraId="48BE37EA"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 xml:space="preserve">83,7 % </w:t>
            </w:r>
          </w:p>
        </w:tc>
        <w:tc>
          <w:tcPr>
            <w:tcW w:w="1276" w:type="dxa"/>
          </w:tcPr>
          <w:p w14:paraId="4473DB95"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86,6 %</w:t>
            </w:r>
          </w:p>
        </w:tc>
        <w:tc>
          <w:tcPr>
            <w:tcW w:w="1276" w:type="dxa"/>
          </w:tcPr>
          <w:p w14:paraId="2BBBB939"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87,9 %</w:t>
            </w:r>
          </w:p>
        </w:tc>
      </w:tr>
      <w:tr w:rsidR="00CF40F8" w:rsidRPr="00CF40F8" w14:paraId="4EA3DA5F" w14:textId="77777777" w:rsidTr="001C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2065510" w14:textId="77777777" w:rsidR="00CF40F8" w:rsidRPr="00CF40F8" w:rsidRDefault="00CF40F8" w:rsidP="00B51251">
            <w:pPr>
              <w:spacing w:line="240" w:lineRule="auto"/>
              <w:jc w:val="both"/>
              <w:outlineLvl w:val="2"/>
              <w:rPr>
                <w:iCs/>
                <w:sz w:val="20"/>
                <w:lang w:eastAsia="en-US"/>
              </w:rPr>
            </w:pPr>
            <w:r w:rsidRPr="00CF40F8">
              <w:rPr>
                <w:iCs/>
                <w:sz w:val="20"/>
                <w:lang w:eastAsia="en-US"/>
              </w:rPr>
              <w:t>Einwirkung Dritter</w:t>
            </w:r>
          </w:p>
        </w:tc>
        <w:tc>
          <w:tcPr>
            <w:tcW w:w="1276" w:type="dxa"/>
          </w:tcPr>
          <w:p w14:paraId="17FA024F"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19,6 %</w:t>
            </w:r>
          </w:p>
        </w:tc>
        <w:tc>
          <w:tcPr>
            <w:tcW w:w="1275" w:type="dxa"/>
          </w:tcPr>
          <w:p w14:paraId="6D374CB7"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7,8 %</w:t>
            </w:r>
          </w:p>
        </w:tc>
        <w:tc>
          <w:tcPr>
            <w:tcW w:w="1276" w:type="dxa"/>
          </w:tcPr>
          <w:p w14:paraId="7D86F546"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13,5 %</w:t>
            </w:r>
          </w:p>
        </w:tc>
        <w:tc>
          <w:tcPr>
            <w:tcW w:w="1276" w:type="dxa"/>
          </w:tcPr>
          <w:p w14:paraId="3D7C74BE"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11,3 %</w:t>
            </w:r>
          </w:p>
        </w:tc>
        <w:tc>
          <w:tcPr>
            <w:tcW w:w="1276" w:type="dxa"/>
          </w:tcPr>
          <w:p w14:paraId="6A976FAB"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10,9 %</w:t>
            </w:r>
          </w:p>
        </w:tc>
      </w:tr>
      <w:tr w:rsidR="00CF40F8" w:rsidRPr="00CF40F8" w14:paraId="3695D0D2" w14:textId="77777777" w:rsidTr="001C3265">
        <w:tc>
          <w:tcPr>
            <w:cnfStyle w:val="001000000000" w:firstRow="0" w:lastRow="0" w:firstColumn="1" w:lastColumn="0" w:oddVBand="0" w:evenVBand="0" w:oddHBand="0" w:evenHBand="0" w:firstRowFirstColumn="0" w:firstRowLastColumn="0" w:lastRowFirstColumn="0" w:lastRowLastColumn="0"/>
            <w:tcW w:w="2660" w:type="dxa"/>
          </w:tcPr>
          <w:p w14:paraId="7EFD53E3" w14:textId="77777777" w:rsidR="00CF40F8" w:rsidRPr="00CF40F8" w:rsidRDefault="00CF40F8" w:rsidP="00B51251">
            <w:pPr>
              <w:spacing w:line="240" w:lineRule="auto"/>
              <w:jc w:val="both"/>
              <w:outlineLvl w:val="2"/>
              <w:rPr>
                <w:iCs/>
                <w:sz w:val="20"/>
                <w:lang w:eastAsia="en-US"/>
              </w:rPr>
            </w:pPr>
            <w:r w:rsidRPr="00CF40F8">
              <w:rPr>
                <w:iCs/>
                <w:sz w:val="20"/>
                <w:lang w:eastAsia="en-US"/>
              </w:rPr>
              <w:t>Rückwirkungsstörungen</w:t>
            </w:r>
          </w:p>
        </w:tc>
        <w:tc>
          <w:tcPr>
            <w:tcW w:w="1276" w:type="dxa"/>
          </w:tcPr>
          <w:p w14:paraId="57882273"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1,8 %</w:t>
            </w:r>
          </w:p>
        </w:tc>
        <w:tc>
          <w:tcPr>
            <w:tcW w:w="1275" w:type="dxa"/>
          </w:tcPr>
          <w:p w14:paraId="1C9E80B4"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2,5 %</w:t>
            </w:r>
          </w:p>
        </w:tc>
        <w:tc>
          <w:tcPr>
            <w:tcW w:w="1276" w:type="dxa"/>
          </w:tcPr>
          <w:p w14:paraId="07BC3496"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2,2 %</w:t>
            </w:r>
          </w:p>
        </w:tc>
        <w:tc>
          <w:tcPr>
            <w:tcW w:w="1276" w:type="dxa"/>
          </w:tcPr>
          <w:p w14:paraId="5A3A2500"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2,1 %</w:t>
            </w:r>
          </w:p>
        </w:tc>
        <w:tc>
          <w:tcPr>
            <w:tcW w:w="1276" w:type="dxa"/>
          </w:tcPr>
          <w:p w14:paraId="03AA47EC"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0,6 %</w:t>
            </w:r>
          </w:p>
        </w:tc>
      </w:tr>
    </w:tbl>
    <w:p w14:paraId="2C78E8F3" w14:textId="77777777" w:rsidR="00CF40F8" w:rsidRPr="00CF40F8" w:rsidRDefault="00CF40F8" w:rsidP="001C3265">
      <w:pPr>
        <w:spacing w:line="240" w:lineRule="auto"/>
        <w:ind w:left="1588" w:hanging="1588"/>
        <w:jc w:val="both"/>
        <w:outlineLvl w:val="2"/>
        <w:rPr>
          <w:rFonts w:eastAsia="Arial"/>
          <w:iCs/>
          <w:color w:val="0070C0"/>
          <w:sz w:val="20"/>
          <w:lang w:eastAsia="en-US"/>
        </w:rPr>
      </w:pPr>
    </w:p>
    <w:p w14:paraId="358D71E4" w14:textId="35A08958" w:rsidR="00CF40F8" w:rsidRPr="00CF40F8" w:rsidRDefault="00CF40F8" w:rsidP="001C3265">
      <w:pPr>
        <w:keepNext/>
        <w:spacing w:before="120" w:after="120" w:line="240" w:lineRule="auto"/>
        <w:rPr>
          <w:rFonts w:eastAsia="Arial"/>
          <w:iCs/>
          <w:color w:val="000000"/>
          <w:sz w:val="18"/>
          <w:szCs w:val="18"/>
          <w:lang w:eastAsia="en-US"/>
        </w:rPr>
      </w:pPr>
      <w:r w:rsidRPr="00CF40F8">
        <w:rPr>
          <w:rFonts w:eastAsia="Arial"/>
          <w:iCs/>
          <w:color w:val="000000"/>
          <w:sz w:val="18"/>
          <w:szCs w:val="18"/>
          <w:lang w:eastAsia="en-US"/>
        </w:rPr>
        <w:t xml:space="preserve">Tabelle </w:t>
      </w:r>
      <w:r w:rsidRPr="00CF40F8">
        <w:rPr>
          <w:rFonts w:eastAsia="Arial"/>
          <w:iCs/>
          <w:color w:val="000000"/>
          <w:sz w:val="18"/>
          <w:szCs w:val="18"/>
          <w:lang w:eastAsia="en-US"/>
        </w:rPr>
        <w:fldChar w:fldCharType="begin"/>
      </w:r>
      <w:r w:rsidRPr="00CF40F8">
        <w:rPr>
          <w:rFonts w:eastAsia="Arial"/>
          <w:iCs/>
          <w:color w:val="000000"/>
          <w:sz w:val="18"/>
          <w:szCs w:val="18"/>
          <w:lang w:eastAsia="en-US"/>
        </w:rPr>
        <w:instrText xml:space="preserve"> SEQ Tabelle \* ARABIC </w:instrText>
      </w:r>
      <w:r w:rsidRPr="00CF40F8">
        <w:rPr>
          <w:rFonts w:eastAsia="Arial"/>
          <w:iCs/>
          <w:color w:val="000000"/>
          <w:sz w:val="18"/>
          <w:szCs w:val="18"/>
          <w:lang w:eastAsia="en-US"/>
        </w:rPr>
        <w:fldChar w:fldCharType="separate"/>
      </w:r>
      <w:r w:rsidR="000E3266">
        <w:rPr>
          <w:rFonts w:eastAsia="Arial"/>
          <w:iCs/>
          <w:noProof/>
          <w:color w:val="000000"/>
          <w:sz w:val="18"/>
          <w:szCs w:val="18"/>
          <w:lang w:eastAsia="en-US"/>
        </w:rPr>
        <w:t>3</w:t>
      </w:r>
      <w:r w:rsidRPr="00CF40F8">
        <w:rPr>
          <w:rFonts w:eastAsia="Arial"/>
          <w:iCs/>
          <w:noProof/>
          <w:color w:val="000000"/>
          <w:sz w:val="18"/>
          <w:szCs w:val="18"/>
          <w:lang w:eastAsia="en-US"/>
        </w:rPr>
        <w:fldChar w:fldCharType="end"/>
      </w:r>
      <w:r w:rsidRPr="00CF40F8">
        <w:rPr>
          <w:rFonts w:eastAsia="Arial"/>
          <w:iCs/>
          <w:color w:val="000000"/>
          <w:sz w:val="18"/>
          <w:szCs w:val="18"/>
          <w:lang w:eastAsia="en-US"/>
        </w:rPr>
        <w:t>: Prozentuale Aufteilung Störungsanlasse Niederspannung 2017-2021</w:t>
      </w:r>
    </w:p>
    <w:tbl>
      <w:tblPr>
        <w:tblStyle w:val="Gitternetztabelle41"/>
        <w:tblW w:w="9039" w:type="dxa"/>
        <w:tblInd w:w="-113" w:type="dxa"/>
        <w:tblLook w:val="04A0" w:firstRow="1" w:lastRow="0" w:firstColumn="1" w:lastColumn="0" w:noHBand="0" w:noVBand="1"/>
      </w:tblPr>
      <w:tblGrid>
        <w:gridCol w:w="2660"/>
        <w:gridCol w:w="1276"/>
        <w:gridCol w:w="1275"/>
        <w:gridCol w:w="1276"/>
        <w:gridCol w:w="1276"/>
        <w:gridCol w:w="1276"/>
      </w:tblGrid>
      <w:tr w:rsidR="00CF40F8" w:rsidRPr="00CF40F8" w14:paraId="2A5B82C8" w14:textId="77777777" w:rsidTr="001C3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E5719D6" w14:textId="77777777" w:rsidR="00CF40F8" w:rsidRPr="002A38BD" w:rsidRDefault="00CF40F8" w:rsidP="00CF40F8">
            <w:pPr>
              <w:spacing w:before="240" w:line="240" w:lineRule="auto"/>
              <w:jc w:val="both"/>
              <w:outlineLvl w:val="2"/>
              <w:rPr>
                <w:iCs/>
                <w:color w:val="auto"/>
                <w:sz w:val="20"/>
                <w:lang w:eastAsia="en-US"/>
              </w:rPr>
            </w:pPr>
          </w:p>
        </w:tc>
        <w:tc>
          <w:tcPr>
            <w:tcW w:w="1276" w:type="dxa"/>
            <w:shd w:val="clear" w:color="auto" w:fill="auto"/>
          </w:tcPr>
          <w:p w14:paraId="3E86F0B2"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2017</w:t>
            </w:r>
          </w:p>
        </w:tc>
        <w:tc>
          <w:tcPr>
            <w:tcW w:w="1275" w:type="dxa"/>
            <w:shd w:val="clear" w:color="auto" w:fill="auto"/>
          </w:tcPr>
          <w:p w14:paraId="59CCC137"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2018</w:t>
            </w:r>
          </w:p>
        </w:tc>
        <w:tc>
          <w:tcPr>
            <w:tcW w:w="1276" w:type="dxa"/>
            <w:shd w:val="clear" w:color="auto" w:fill="auto"/>
          </w:tcPr>
          <w:p w14:paraId="1F1D520B"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2019</w:t>
            </w:r>
          </w:p>
        </w:tc>
        <w:tc>
          <w:tcPr>
            <w:tcW w:w="1276" w:type="dxa"/>
            <w:shd w:val="clear" w:color="auto" w:fill="auto"/>
          </w:tcPr>
          <w:p w14:paraId="42E13B86"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2020</w:t>
            </w:r>
          </w:p>
        </w:tc>
        <w:tc>
          <w:tcPr>
            <w:tcW w:w="1276" w:type="dxa"/>
            <w:shd w:val="clear" w:color="auto" w:fill="auto"/>
          </w:tcPr>
          <w:p w14:paraId="55B5611D" w14:textId="77777777" w:rsidR="00CF40F8" w:rsidRPr="002A38BD" w:rsidRDefault="00CF40F8" w:rsidP="00CF40F8">
            <w:pPr>
              <w:spacing w:before="240" w:line="240" w:lineRule="auto"/>
              <w:jc w:val="both"/>
              <w:outlineLvl w:val="2"/>
              <w:cnfStyle w:val="100000000000" w:firstRow="1" w:lastRow="0" w:firstColumn="0" w:lastColumn="0" w:oddVBand="0" w:evenVBand="0" w:oddHBand="0" w:evenHBand="0" w:firstRowFirstColumn="0" w:firstRowLastColumn="0" w:lastRowFirstColumn="0" w:lastRowLastColumn="0"/>
              <w:rPr>
                <w:iCs/>
                <w:color w:val="auto"/>
                <w:sz w:val="20"/>
                <w:lang w:eastAsia="en-US"/>
              </w:rPr>
            </w:pPr>
            <w:r w:rsidRPr="002A38BD">
              <w:rPr>
                <w:iCs/>
                <w:color w:val="auto"/>
                <w:sz w:val="20"/>
                <w:lang w:eastAsia="en-US"/>
              </w:rPr>
              <w:t>2021</w:t>
            </w:r>
          </w:p>
        </w:tc>
      </w:tr>
      <w:tr w:rsidR="00CF40F8" w:rsidRPr="00CF40F8" w14:paraId="35E14D83" w14:textId="77777777" w:rsidTr="001C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3B5060E" w14:textId="77777777" w:rsidR="00CF40F8" w:rsidRPr="00CF40F8" w:rsidRDefault="00CF40F8" w:rsidP="00B51251">
            <w:pPr>
              <w:spacing w:line="240" w:lineRule="auto"/>
              <w:jc w:val="both"/>
              <w:outlineLvl w:val="2"/>
              <w:rPr>
                <w:iCs/>
                <w:sz w:val="20"/>
                <w:lang w:eastAsia="en-US"/>
              </w:rPr>
            </w:pPr>
            <w:r w:rsidRPr="00CF40F8">
              <w:rPr>
                <w:iCs/>
                <w:sz w:val="20"/>
                <w:lang w:eastAsia="en-US"/>
              </w:rPr>
              <w:lastRenderedPageBreak/>
              <w:t>Atmosphärische Einwirkungen</w:t>
            </w:r>
          </w:p>
        </w:tc>
        <w:tc>
          <w:tcPr>
            <w:tcW w:w="1276" w:type="dxa"/>
          </w:tcPr>
          <w:p w14:paraId="22B600EF"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2,5 %</w:t>
            </w:r>
          </w:p>
          <w:p w14:paraId="3B4E8CFE"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p>
        </w:tc>
        <w:tc>
          <w:tcPr>
            <w:tcW w:w="1275" w:type="dxa"/>
          </w:tcPr>
          <w:p w14:paraId="4F83C0A4"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1,4 %</w:t>
            </w:r>
          </w:p>
        </w:tc>
        <w:tc>
          <w:tcPr>
            <w:tcW w:w="1276" w:type="dxa"/>
          </w:tcPr>
          <w:p w14:paraId="0C8241A7"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0,7 %</w:t>
            </w:r>
          </w:p>
        </w:tc>
        <w:tc>
          <w:tcPr>
            <w:tcW w:w="1276" w:type="dxa"/>
          </w:tcPr>
          <w:p w14:paraId="7C1D509F"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1,3 %</w:t>
            </w:r>
          </w:p>
        </w:tc>
        <w:tc>
          <w:tcPr>
            <w:tcW w:w="1276" w:type="dxa"/>
          </w:tcPr>
          <w:p w14:paraId="0BAAE35E"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0,7 %</w:t>
            </w:r>
          </w:p>
        </w:tc>
      </w:tr>
      <w:tr w:rsidR="00CF40F8" w:rsidRPr="00CF40F8" w14:paraId="26E4094E" w14:textId="77777777" w:rsidTr="001C3265">
        <w:tc>
          <w:tcPr>
            <w:cnfStyle w:val="001000000000" w:firstRow="0" w:lastRow="0" w:firstColumn="1" w:lastColumn="0" w:oddVBand="0" w:evenVBand="0" w:oddHBand="0" w:evenHBand="0" w:firstRowFirstColumn="0" w:firstRowLastColumn="0" w:lastRowFirstColumn="0" w:lastRowLastColumn="0"/>
            <w:tcW w:w="2660" w:type="dxa"/>
          </w:tcPr>
          <w:p w14:paraId="1F67758E" w14:textId="77777777" w:rsidR="00CF40F8" w:rsidRPr="00CF40F8" w:rsidRDefault="00CF40F8" w:rsidP="00B51251">
            <w:pPr>
              <w:spacing w:line="240" w:lineRule="auto"/>
              <w:jc w:val="both"/>
              <w:outlineLvl w:val="2"/>
              <w:rPr>
                <w:iCs/>
                <w:sz w:val="20"/>
                <w:lang w:eastAsia="en-US"/>
              </w:rPr>
            </w:pPr>
            <w:r w:rsidRPr="00CF40F8">
              <w:rPr>
                <w:iCs/>
                <w:sz w:val="20"/>
                <w:lang w:eastAsia="en-US"/>
              </w:rPr>
              <w:t>Zuständigkeit Netzbetreiber/ kein erkennbarer Anlass</w:t>
            </w:r>
          </w:p>
        </w:tc>
        <w:tc>
          <w:tcPr>
            <w:tcW w:w="1276" w:type="dxa"/>
          </w:tcPr>
          <w:p w14:paraId="5F158FB1"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78,2 %</w:t>
            </w:r>
          </w:p>
        </w:tc>
        <w:tc>
          <w:tcPr>
            <w:tcW w:w="1275" w:type="dxa"/>
          </w:tcPr>
          <w:p w14:paraId="5936619A"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79,5 %</w:t>
            </w:r>
          </w:p>
        </w:tc>
        <w:tc>
          <w:tcPr>
            <w:tcW w:w="1276" w:type="dxa"/>
          </w:tcPr>
          <w:p w14:paraId="164B24CB"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 xml:space="preserve">79,0 % </w:t>
            </w:r>
          </w:p>
        </w:tc>
        <w:tc>
          <w:tcPr>
            <w:tcW w:w="1276" w:type="dxa"/>
          </w:tcPr>
          <w:p w14:paraId="5BCF3D09"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77,0 %</w:t>
            </w:r>
          </w:p>
        </w:tc>
        <w:tc>
          <w:tcPr>
            <w:tcW w:w="1276" w:type="dxa"/>
          </w:tcPr>
          <w:p w14:paraId="38657270"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78,8 %</w:t>
            </w:r>
          </w:p>
        </w:tc>
      </w:tr>
      <w:tr w:rsidR="00CF40F8" w:rsidRPr="00CF40F8" w14:paraId="3160DD54" w14:textId="77777777" w:rsidTr="001C3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545CE47" w14:textId="77777777" w:rsidR="00CF40F8" w:rsidRPr="00CF40F8" w:rsidRDefault="00CF40F8" w:rsidP="00B51251">
            <w:pPr>
              <w:spacing w:line="240" w:lineRule="auto"/>
              <w:jc w:val="both"/>
              <w:outlineLvl w:val="2"/>
              <w:rPr>
                <w:iCs/>
                <w:sz w:val="20"/>
                <w:lang w:eastAsia="en-US"/>
              </w:rPr>
            </w:pPr>
            <w:r w:rsidRPr="00CF40F8">
              <w:rPr>
                <w:iCs/>
                <w:sz w:val="20"/>
                <w:lang w:eastAsia="en-US"/>
              </w:rPr>
              <w:t>Einwirkung Dritter</w:t>
            </w:r>
          </w:p>
        </w:tc>
        <w:tc>
          <w:tcPr>
            <w:tcW w:w="1276" w:type="dxa"/>
          </w:tcPr>
          <w:p w14:paraId="32074493"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19,3 %</w:t>
            </w:r>
          </w:p>
        </w:tc>
        <w:tc>
          <w:tcPr>
            <w:tcW w:w="1275" w:type="dxa"/>
          </w:tcPr>
          <w:p w14:paraId="5BDE7984"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19,1 %</w:t>
            </w:r>
          </w:p>
        </w:tc>
        <w:tc>
          <w:tcPr>
            <w:tcW w:w="1276" w:type="dxa"/>
          </w:tcPr>
          <w:p w14:paraId="00E8AD0D"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20,2 %</w:t>
            </w:r>
          </w:p>
        </w:tc>
        <w:tc>
          <w:tcPr>
            <w:tcW w:w="1276" w:type="dxa"/>
          </w:tcPr>
          <w:p w14:paraId="79437501"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21,6 %</w:t>
            </w:r>
          </w:p>
        </w:tc>
        <w:tc>
          <w:tcPr>
            <w:tcW w:w="1276" w:type="dxa"/>
          </w:tcPr>
          <w:p w14:paraId="2BECAACA" w14:textId="77777777" w:rsidR="00CF40F8" w:rsidRPr="00CF40F8" w:rsidRDefault="00CF40F8" w:rsidP="00B51251">
            <w:pPr>
              <w:spacing w:line="240" w:lineRule="auto"/>
              <w:jc w:val="both"/>
              <w:outlineLvl w:val="2"/>
              <w:cnfStyle w:val="000000100000" w:firstRow="0" w:lastRow="0" w:firstColumn="0" w:lastColumn="0" w:oddVBand="0" w:evenVBand="0" w:oddHBand="1" w:evenHBand="0" w:firstRowFirstColumn="0" w:firstRowLastColumn="0" w:lastRowFirstColumn="0" w:lastRowLastColumn="0"/>
              <w:rPr>
                <w:iCs/>
                <w:sz w:val="20"/>
                <w:lang w:eastAsia="en-US"/>
              </w:rPr>
            </w:pPr>
            <w:r w:rsidRPr="00CF40F8">
              <w:rPr>
                <w:iCs/>
                <w:sz w:val="20"/>
                <w:lang w:eastAsia="en-US"/>
              </w:rPr>
              <w:t>20,5 %</w:t>
            </w:r>
          </w:p>
        </w:tc>
      </w:tr>
      <w:tr w:rsidR="00CF40F8" w:rsidRPr="00CF40F8" w14:paraId="5154F573" w14:textId="77777777" w:rsidTr="001C3265">
        <w:tc>
          <w:tcPr>
            <w:cnfStyle w:val="001000000000" w:firstRow="0" w:lastRow="0" w:firstColumn="1" w:lastColumn="0" w:oddVBand="0" w:evenVBand="0" w:oddHBand="0" w:evenHBand="0" w:firstRowFirstColumn="0" w:firstRowLastColumn="0" w:lastRowFirstColumn="0" w:lastRowLastColumn="0"/>
            <w:tcW w:w="2660" w:type="dxa"/>
          </w:tcPr>
          <w:p w14:paraId="6C17A01A" w14:textId="77777777" w:rsidR="00CF40F8" w:rsidRPr="00CF40F8" w:rsidRDefault="00CF40F8" w:rsidP="00B51251">
            <w:pPr>
              <w:spacing w:line="240" w:lineRule="auto"/>
              <w:jc w:val="both"/>
              <w:outlineLvl w:val="2"/>
              <w:rPr>
                <w:iCs/>
                <w:sz w:val="20"/>
                <w:lang w:eastAsia="en-US"/>
              </w:rPr>
            </w:pPr>
            <w:r w:rsidRPr="00CF40F8">
              <w:rPr>
                <w:iCs/>
                <w:sz w:val="20"/>
                <w:lang w:eastAsia="en-US"/>
              </w:rPr>
              <w:t>Rückwirkungsstörungen</w:t>
            </w:r>
          </w:p>
        </w:tc>
        <w:tc>
          <w:tcPr>
            <w:tcW w:w="1276" w:type="dxa"/>
          </w:tcPr>
          <w:p w14:paraId="6165F550"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0,0 %</w:t>
            </w:r>
          </w:p>
        </w:tc>
        <w:tc>
          <w:tcPr>
            <w:tcW w:w="1275" w:type="dxa"/>
          </w:tcPr>
          <w:p w14:paraId="1F80DF3F"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0,0 %</w:t>
            </w:r>
          </w:p>
        </w:tc>
        <w:tc>
          <w:tcPr>
            <w:tcW w:w="1276" w:type="dxa"/>
          </w:tcPr>
          <w:p w14:paraId="2E013DEB"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0,0 %</w:t>
            </w:r>
          </w:p>
        </w:tc>
        <w:tc>
          <w:tcPr>
            <w:tcW w:w="1276" w:type="dxa"/>
          </w:tcPr>
          <w:p w14:paraId="00B12589"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0,0 %</w:t>
            </w:r>
          </w:p>
        </w:tc>
        <w:tc>
          <w:tcPr>
            <w:tcW w:w="1276" w:type="dxa"/>
          </w:tcPr>
          <w:p w14:paraId="26F99EFC" w14:textId="77777777" w:rsidR="00CF40F8" w:rsidRPr="00CF40F8" w:rsidRDefault="00CF40F8" w:rsidP="00B51251">
            <w:pPr>
              <w:spacing w:line="240" w:lineRule="auto"/>
              <w:jc w:val="both"/>
              <w:outlineLvl w:val="2"/>
              <w:cnfStyle w:val="000000000000" w:firstRow="0" w:lastRow="0" w:firstColumn="0" w:lastColumn="0" w:oddVBand="0" w:evenVBand="0" w:oddHBand="0" w:evenHBand="0" w:firstRowFirstColumn="0" w:firstRowLastColumn="0" w:lastRowFirstColumn="0" w:lastRowLastColumn="0"/>
              <w:rPr>
                <w:iCs/>
                <w:sz w:val="20"/>
                <w:lang w:eastAsia="en-US"/>
              </w:rPr>
            </w:pPr>
            <w:r w:rsidRPr="00CF40F8">
              <w:rPr>
                <w:iCs/>
                <w:sz w:val="20"/>
                <w:lang w:eastAsia="en-US"/>
              </w:rPr>
              <w:t>0,0 %</w:t>
            </w:r>
          </w:p>
        </w:tc>
      </w:tr>
    </w:tbl>
    <w:p w14:paraId="781D8B82" w14:textId="77777777" w:rsidR="002A38BD" w:rsidRDefault="002A38BD" w:rsidP="00B51251">
      <w:pPr>
        <w:pStyle w:val="Frage-Nummerierung1"/>
        <w:numPr>
          <w:ilvl w:val="0"/>
          <w:numId w:val="0"/>
        </w:numPr>
        <w:spacing w:before="0"/>
        <w:rPr>
          <w:i w:val="0"/>
        </w:rPr>
      </w:pPr>
    </w:p>
    <w:p w14:paraId="1F266F57" w14:textId="77777777" w:rsidR="009E56B6" w:rsidRDefault="00B05572" w:rsidP="00B47BA1">
      <w:pPr>
        <w:pStyle w:val="Frage-Nummerierung1"/>
        <w:ind w:left="1701" w:hanging="1701"/>
      </w:pPr>
      <w:r w:rsidRPr="00B05572">
        <w:t>Wonach erfolgt im Fall eines Energieversorgungsdefizits – wenn Energie also nicht im Umfang der Nachfrage bereitgestellt werden kann – die Zuteilung der verfügbaren Energie? Werden Privathaushalte, öffentliche bzw. private Infrastruktur, sonstige Unternehmen oder die Industrie mit Priorität versorgt? Gibt es hierzu eine Strategie? Wenn ja, wann und von wem wurde diese erarbeitet und wo ist diese abrufbar? Wenn nein, warum nicht, ist die Erstellung einer solchen geplant und wer nimmt die Planung vor? Gibt es für einzelne Energieträger – z.B. Strom, Erdgas, Wasserstoff etc. – bereits einzelne (rechtsverbindliche) Überlegungen dieser Art?</w:t>
      </w:r>
    </w:p>
    <w:p w14:paraId="208A2E0E" w14:textId="3989E05A" w:rsidR="00A63189" w:rsidRDefault="00A63189" w:rsidP="00A63189">
      <w:pPr>
        <w:pStyle w:val="Frage-Nummerierung1"/>
        <w:numPr>
          <w:ilvl w:val="0"/>
          <w:numId w:val="0"/>
        </w:numPr>
        <w:rPr>
          <w:i w:val="0"/>
        </w:rPr>
      </w:pPr>
      <w:r>
        <w:rPr>
          <w:i w:val="0"/>
        </w:rPr>
        <w:t xml:space="preserve">Die Verteilung verfügbarer Energie in einer Mangellage erfolgt nach dem Energiesicherungsgesetz (EnSiG) des Bundes und der darauf gestützten Rechtsverordnungen. Die zentrale Zuständigkeit für die Aufrechterhaltung der Versorgungssicherheit einschließlich Verteilerverfügungen liegt hiernach bei der </w:t>
      </w:r>
      <w:r w:rsidR="00C35094">
        <w:rPr>
          <w:i w:val="0"/>
        </w:rPr>
        <w:t>BNetzA</w:t>
      </w:r>
      <w:r>
        <w:rPr>
          <w:i w:val="0"/>
        </w:rPr>
        <w:t xml:space="preserve"> sowie den Energieversorgungsunternehmen.</w:t>
      </w:r>
    </w:p>
    <w:p w14:paraId="06CB22A2" w14:textId="247DB57F" w:rsidR="00A63189" w:rsidRDefault="00A63189" w:rsidP="008E7BD5">
      <w:pPr>
        <w:pStyle w:val="Frage-Nummerierung1"/>
        <w:numPr>
          <w:ilvl w:val="0"/>
          <w:numId w:val="0"/>
        </w:numPr>
        <w:rPr>
          <w:i w:val="0"/>
        </w:rPr>
      </w:pPr>
      <w:r>
        <w:rPr>
          <w:i w:val="0"/>
        </w:rPr>
        <w:t xml:space="preserve">In einer Gasmangellage würde die </w:t>
      </w:r>
      <w:r w:rsidR="00C35094">
        <w:rPr>
          <w:i w:val="0"/>
        </w:rPr>
        <w:t>BNetzA</w:t>
      </w:r>
      <w:r>
        <w:rPr>
          <w:i w:val="0"/>
        </w:rPr>
        <w:t xml:space="preserve"> nach Ausrufung der Notfallstufe durch die Bundesregierung zum Bundeslastverteiler und als solcher zuständig für die Verteilung verbleibender Gasmengen. </w:t>
      </w:r>
      <w:r w:rsidRPr="00D3012B">
        <w:rPr>
          <w:i w:val="0"/>
        </w:rPr>
        <w:t xml:space="preserve">Daneben besteht die Verantwortung der Gasnetzbetreiber für die </w:t>
      </w:r>
      <w:r>
        <w:rPr>
          <w:i w:val="0"/>
        </w:rPr>
        <w:t>Sicherheit oder Zu</w:t>
      </w:r>
      <w:r w:rsidRPr="00D3012B">
        <w:rPr>
          <w:i w:val="0"/>
        </w:rPr>
        <w:t>verlässigkeit des Gasversorgungssystems auch in einer Gasmangellage fort,</w:t>
      </w:r>
      <w:r w:rsidR="00D03E78">
        <w:rPr>
          <w:i w:val="0"/>
        </w:rPr>
        <w:t xml:space="preserve"> siehe</w:t>
      </w:r>
      <w:r w:rsidRPr="00D3012B">
        <w:rPr>
          <w:i w:val="0"/>
        </w:rPr>
        <w:t xml:space="preserve"> § 16</w:t>
      </w:r>
      <w:r w:rsidR="00D03E78">
        <w:rPr>
          <w:i w:val="0"/>
        </w:rPr>
        <w:t xml:space="preserve"> Energiewirtschaftsgesetz</w:t>
      </w:r>
      <w:r w:rsidRPr="00D3012B">
        <w:rPr>
          <w:i w:val="0"/>
        </w:rPr>
        <w:t xml:space="preserve"> </w:t>
      </w:r>
      <w:r w:rsidR="00D03E78">
        <w:rPr>
          <w:i w:val="0"/>
        </w:rPr>
        <w:t>(</w:t>
      </w:r>
      <w:r w:rsidRPr="00D3012B">
        <w:rPr>
          <w:i w:val="0"/>
        </w:rPr>
        <w:t>EnWG</w:t>
      </w:r>
      <w:r w:rsidR="00D03E78">
        <w:rPr>
          <w:i w:val="0"/>
        </w:rPr>
        <w:t>)</w:t>
      </w:r>
      <w:r w:rsidRPr="00D3012B">
        <w:rPr>
          <w:i w:val="0"/>
        </w:rPr>
        <w:t>.</w:t>
      </w:r>
      <w:r>
        <w:rPr>
          <w:i w:val="0"/>
        </w:rPr>
        <w:t xml:space="preserve"> Haushaltskund</w:t>
      </w:r>
      <w:r w:rsidR="00D03E78">
        <w:rPr>
          <w:i w:val="0"/>
        </w:rPr>
        <w:t>innen und -kund</w:t>
      </w:r>
      <w:r>
        <w:rPr>
          <w:i w:val="0"/>
        </w:rPr>
        <w:t xml:space="preserve">en, grundlegende soziale Dienste und Fernwärmeanlagen werden, soweit sie die vorgenannten Gruppen versorgen, vorrangig beliefert, ebenso systemrelevante Gaskraftwerke. Details finden sich in den FAQ der </w:t>
      </w:r>
      <w:r w:rsidR="00C35094">
        <w:rPr>
          <w:i w:val="0"/>
        </w:rPr>
        <w:t>BNetzA</w:t>
      </w:r>
      <w:r>
        <w:rPr>
          <w:i w:val="0"/>
        </w:rPr>
        <w:t xml:space="preserve"> zu </w:t>
      </w:r>
      <w:r w:rsidRPr="00127961">
        <w:rPr>
          <w:i w:val="0"/>
        </w:rPr>
        <w:t>Fragen der Krisenvorbereitung und des Handelns in der Krise</w:t>
      </w:r>
      <w:r>
        <w:rPr>
          <w:i w:val="0"/>
        </w:rPr>
        <w:t>, abrufbar unter</w:t>
      </w:r>
      <w:r w:rsidR="00D03E78">
        <w:rPr>
          <w:i w:val="0"/>
        </w:rPr>
        <w:t xml:space="preserve"> </w:t>
      </w:r>
      <w:hyperlink r:id="rId9" w:history="1">
        <w:r w:rsidRPr="00A63189">
          <w:t>https://www.bundesnetzagentur.de/DE/Fachthemen/ElektrizitaetundGas/Versorgungssicherheit/aktuelle_gasversorgung/HintergrundFAQ/start.html</w:t>
        </w:r>
      </w:hyperlink>
      <w:r w:rsidR="00D03E78">
        <w:t>.</w:t>
      </w:r>
    </w:p>
    <w:p w14:paraId="39FC4531" w14:textId="2D50F2BB" w:rsidR="00A63189" w:rsidRDefault="00A63189" w:rsidP="00A63189">
      <w:pPr>
        <w:pStyle w:val="Frage-Nummerierung1"/>
        <w:numPr>
          <w:ilvl w:val="0"/>
          <w:numId w:val="0"/>
        </w:numPr>
        <w:rPr>
          <w:i w:val="0"/>
        </w:rPr>
      </w:pPr>
      <w:r>
        <w:rPr>
          <w:i w:val="0"/>
        </w:rPr>
        <w:t xml:space="preserve">Auch im Strombereich gilt die für den Gasbereich beschriebene Kompetenzaufteilung zwischen </w:t>
      </w:r>
      <w:r w:rsidR="00C35094">
        <w:rPr>
          <w:i w:val="0"/>
        </w:rPr>
        <w:t>BNetzA</w:t>
      </w:r>
      <w:r>
        <w:rPr>
          <w:i w:val="0"/>
        </w:rPr>
        <w:t xml:space="preserve"> und Netzbetreibern nach dem EnSiG. Eine Differenzierung zwischen geschützten und ungeschützten Kund</w:t>
      </w:r>
      <w:r w:rsidR="00D03E78">
        <w:rPr>
          <w:i w:val="0"/>
        </w:rPr>
        <w:t>innen und Kund</w:t>
      </w:r>
      <w:r>
        <w:rPr>
          <w:i w:val="0"/>
        </w:rPr>
        <w:t xml:space="preserve">en, wie beim Gas, existiert beim Strom allerdings nicht. Verteilerentscheidungen sind diskriminierungsfrei zur Aufrechterhaltung der Systemsicherheit zu treffen. Besonders sensible Einrichtungen sind </w:t>
      </w:r>
      <w:r w:rsidR="00D03E78">
        <w:rPr>
          <w:i w:val="0"/>
        </w:rPr>
        <w:t>dazu an</w:t>
      </w:r>
      <w:r>
        <w:rPr>
          <w:i w:val="0"/>
        </w:rPr>
        <w:t>gehalten, sich über eine Notstromversorgung abzusichern. Details finden sich in</w:t>
      </w:r>
    </w:p>
    <w:p w14:paraId="1DF74650" w14:textId="43863D9A" w:rsidR="00A63189" w:rsidRDefault="00A63189" w:rsidP="00B51251">
      <w:pPr>
        <w:pStyle w:val="Frage-Nummerierung1"/>
        <w:numPr>
          <w:ilvl w:val="0"/>
          <w:numId w:val="40"/>
        </w:numPr>
        <w:spacing w:before="0"/>
        <w:ind w:left="426"/>
        <w:rPr>
          <w:i w:val="0"/>
        </w:rPr>
      </w:pPr>
      <w:r>
        <w:rPr>
          <w:i w:val="0"/>
        </w:rPr>
        <w:t xml:space="preserve">dem Risikovorsorgeplan Strom des </w:t>
      </w:r>
      <w:r w:rsidR="00D03E78">
        <w:rPr>
          <w:i w:val="0"/>
        </w:rPr>
        <w:t>Bundesministeriums für Wirtschaft und Klimaschutz (</w:t>
      </w:r>
      <w:r>
        <w:rPr>
          <w:i w:val="0"/>
        </w:rPr>
        <w:t>BMWK</w:t>
      </w:r>
      <w:r w:rsidR="00D03E78">
        <w:rPr>
          <w:i w:val="0"/>
        </w:rPr>
        <w:t>)</w:t>
      </w:r>
      <w:r>
        <w:rPr>
          <w:i w:val="0"/>
        </w:rPr>
        <w:t xml:space="preserve">, abrufbar unter </w:t>
      </w:r>
      <w:hyperlink r:id="rId10" w:history="1">
        <w:r w:rsidRPr="00A63189">
          <w:t>https://www.bmwk.de/Redaktion/DE/Downloads/P-R/risikovorsorgeplan-strom-bundesrepublik-deutschland.pdf?__blob=publicationFile&amp;v=4</w:t>
        </w:r>
      </w:hyperlink>
      <w:r>
        <w:rPr>
          <w:i w:val="0"/>
        </w:rPr>
        <w:t xml:space="preserve"> </w:t>
      </w:r>
    </w:p>
    <w:p w14:paraId="325138EA" w14:textId="0FF62207" w:rsidR="00A63189" w:rsidRDefault="00A63189" w:rsidP="00B51251">
      <w:pPr>
        <w:pStyle w:val="Frage-Nummerierung1"/>
        <w:numPr>
          <w:ilvl w:val="0"/>
          <w:numId w:val="40"/>
        </w:numPr>
        <w:spacing w:before="0"/>
        <w:ind w:left="426"/>
        <w:rPr>
          <w:i w:val="0"/>
        </w:rPr>
      </w:pPr>
      <w:r>
        <w:rPr>
          <w:i w:val="0"/>
        </w:rPr>
        <w:t xml:space="preserve">dem Konzept Zivile Verteidigung des BMWK, abrufbar unter </w:t>
      </w:r>
      <w:hyperlink r:id="rId11" w:history="1">
        <w:r w:rsidRPr="00A63189">
          <w:t>https://www.bmi.bund.de/DE/themen/bevoelkerungsschutz/zivil-und-katastrophenschutz/konzeption-zivile-verteidigung/konzeption-zivile-verteidigung-node.html</w:t>
        </w:r>
      </w:hyperlink>
      <w:r>
        <w:rPr>
          <w:i w:val="0"/>
        </w:rPr>
        <w:t xml:space="preserve"> </w:t>
      </w:r>
    </w:p>
    <w:p w14:paraId="71013847" w14:textId="7084324B" w:rsidR="00A63189" w:rsidRDefault="00A63189" w:rsidP="00B51251">
      <w:pPr>
        <w:pStyle w:val="Frage-Nummerierung1"/>
        <w:numPr>
          <w:ilvl w:val="0"/>
          <w:numId w:val="40"/>
        </w:numPr>
        <w:spacing w:before="0"/>
        <w:ind w:left="426"/>
        <w:rPr>
          <w:i w:val="0"/>
        </w:rPr>
      </w:pPr>
      <w:r>
        <w:rPr>
          <w:i w:val="0"/>
        </w:rPr>
        <w:t xml:space="preserve">dem Dokument Notstromversorgung für Unternehmen und Behörden des Bundesamt für Bevölkerungsschutz und Katastrophenhilfe (BBK), abrufbar unter </w:t>
      </w:r>
      <w:r w:rsidRPr="002A73BA">
        <w:rPr>
          <w:i w:val="0"/>
        </w:rPr>
        <w:t>https://www.bbk.bund.de/SharedDocs/Downloads/DE/Mediathek/Publikationen/PiB/PiB-13-notstromversorgung-unternehmen-behoerden.pdf?__blob=publicationFile&amp;v=8</w:t>
      </w:r>
    </w:p>
    <w:p w14:paraId="56D902BD" w14:textId="1A8A5997" w:rsidR="00A63189" w:rsidRPr="00C419C3" w:rsidRDefault="00A63189" w:rsidP="00B51251">
      <w:pPr>
        <w:pStyle w:val="Frage-Nummerierung1"/>
        <w:numPr>
          <w:ilvl w:val="0"/>
          <w:numId w:val="40"/>
        </w:numPr>
        <w:spacing w:before="0"/>
        <w:ind w:left="426"/>
        <w:rPr>
          <w:i w:val="0"/>
        </w:rPr>
      </w:pPr>
      <w:r>
        <w:rPr>
          <w:i w:val="0"/>
        </w:rPr>
        <w:t xml:space="preserve">der </w:t>
      </w:r>
      <w:r w:rsidRPr="001800E0">
        <w:rPr>
          <w:i w:val="0"/>
        </w:rPr>
        <w:t>VERORDNUNG (EU) 2017/2196 DER KOMMISSION</w:t>
      </w:r>
      <w:r>
        <w:rPr>
          <w:i w:val="0"/>
        </w:rPr>
        <w:t xml:space="preserve"> </w:t>
      </w:r>
      <w:r w:rsidRPr="001800E0">
        <w:rPr>
          <w:i w:val="0"/>
        </w:rPr>
        <w:t>vom 24. November 2017</w:t>
      </w:r>
      <w:r>
        <w:rPr>
          <w:i w:val="0"/>
        </w:rPr>
        <w:t xml:space="preserve"> z</w:t>
      </w:r>
      <w:r w:rsidRPr="001800E0">
        <w:rPr>
          <w:i w:val="0"/>
        </w:rPr>
        <w:t>ur Festlegung eines Netzkodex über den Notzustand und den Netzwiederaufbau des</w:t>
      </w:r>
      <w:r>
        <w:rPr>
          <w:i w:val="0"/>
        </w:rPr>
        <w:t xml:space="preserve"> Übertragungsnetzes, abrufbar unter </w:t>
      </w:r>
      <w:hyperlink r:id="rId12" w:history="1">
        <w:r w:rsidRPr="00A63189">
          <w:t>https://eur-lex.europa.eu/legal-content/DE/TXT/PDF/?uri=CELEX:32017R2196&amp;from=EN</w:t>
        </w:r>
      </w:hyperlink>
      <w:r>
        <w:rPr>
          <w:i w:val="0"/>
        </w:rPr>
        <w:t xml:space="preserve"> </w:t>
      </w:r>
    </w:p>
    <w:p w14:paraId="5E4AEBBE" w14:textId="347E28D2" w:rsidR="00A63189" w:rsidRDefault="00A63189" w:rsidP="00A63189">
      <w:pPr>
        <w:pStyle w:val="Frage-Nummerierung1"/>
        <w:numPr>
          <w:ilvl w:val="0"/>
          <w:numId w:val="0"/>
        </w:numPr>
        <w:rPr>
          <w:i w:val="0"/>
        </w:rPr>
      </w:pPr>
      <w:r>
        <w:rPr>
          <w:i w:val="0"/>
        </w:rPr>
        <w:t xml:space="preserve">Für die Energieträger Öl, Kohle und Wasserstoff wurden keine Sicherungsverordnungen nach EnSiG erlassen, die die Verteilung </w:t>
      </w:r>
      <w:r w:rsidRPr="00C419C3">
        <w:rPr>
          <w:i w:val="0"/>
        </w:rPr>
        <w:t>regeln.</w:t>
      </w:r>
      <w:r>
        <w:rPr>
          <w:i w:val="0"/>
        </w:rPr>
        <w:t xml:space="preserve"> </w:t>
      </w:r>
      <w:r w:rsidRPr="00C419C3">
        <w:rPr>
          <w:i w:val="0"/>
        </w:rPr>
        <w:t xml:space="preserve">Für den Bereich Erdöl erfolgt die Freigabe von Erdöl und Erdölerzeugnissen auf Anordnung des BMWK nach § 12 </w:t>
      </w:r>
      <w:r>
        <w:rPr>
          <w:i w:val="0"/>
        </w:rPr>
        <w:t>des</w:t>
      </w:r>
      <w:r w:rsidRPr="00C419C3">
        <w:rPr>
          <w:i w:val="0"/>
        </w:rPr>
        <w:t xml:space="preserve"> Gesetz</w:t>
      </w:r>
      <w:r>
        <w:rPr>
          <w:i w:val="0"/>
        </w:rPr>
        <w:t>es</w:t>
      </w:r>
      <w:r w:rsidRPr="00C419C3">
        <w:rPr>
          <w:i w:val="0"/>
        </w:rPr>
        <w:t xml:space="preserve"> über die Bevorratung mit Erdöl und Erdölerzeugnissen (Erdölbevorratungsgesetz - ErdölBevG).</w:t>
      </w:r>
      <w:r>
        <w:rPr>
          <w:i w:val="0"/>
        </w:rPr>
        <w:t xml:space="preserve"> </w:t>
      </w:r>
      <w:r w:rsidRPr="00831782">
        <w:rPr>
          <w:i w:val="0"/>
        </w:rPr>
        <w:t>Für den Bereich Erdölnotversorgung innerhalb des Hamburger Stadtgebietes wurde 2020 durch die Behörde für Inneres und Sport eine „Vereinbarung zur Sicherstellung der Mineralölversorgungsbasis für wichtige Einrichtungen Kritischer Infrastrukturen in Hamburg bei großflächigen, länger andauernden Stromausfällen“ geschlossen. Zielsetzung der Vereinbarung ist die prioritäre Versorgung von kritischen Infrastrukturen mit Mineralölprodukten bei großflächigen, länger andauernden Stromausfällen („black-out“).</w:t>
      </w:r>
      <w:r>
        <w:rPr>
          <w:i w:val="0"/>
        </w:rPr>
        <w:t xml:space="preserve"> </w:t>
      </w:r>
    </w:p>
    <w:p w14:paraId="4B90FBB8" w14:textId="1DE2F71E" w:rsidR="00A63189" w:rsidRDefault="00A63189" w:rsidP="008E7BD5">
      <w:pPr>
        <w:pStyle w:val="Frage-Nummerierung1"/>
        <w:numPr>
          <w:ilvl w:val="0"/>
          <w:numId w:val="0"/>
        </w:numPr>
        <w:rPr>
          <w:i w:val="0"/>
        </w:rPr>
      </w:pPr>
      <w:r w:rsidRPr="00C419C3">
        <w:rPr>
          <w:i w:val="0"/>
        </w:rPr>
        <w:t>Für</w:t>
      </w:r>
      <w:r>
        <w:rPr>
          <w:i w:val="0"/>
        </w:rPr>
        <w:t xml:space="preserve"> den Bereich Kohle arbeitet das BMWK am Aufbau einer nationalen Kohlereserve. Pläne über die Verteilung in einer Mangellage sind nicht bekannt. Weitere Details finden sich im</w:t>
      </w:r>
      <w:r w:rsidR="00D03E78">
        <w:rPr>
          <w:i w:val="0"/>
        </w:rPr>
        <w:t xml:space="preserve"> </w:t>
      </w:r>
      <w:r>
        <w:rPr>
          <w:i w:val="0"/>
        </w:rPr>
        <w:t xml:space="preserve">Vorsorgeplan </w:t>
      </w:r>
      <w:r w:rsidR="00D03E78">
        <w:rPr>
          <w:i w:val="0"/>
        </w:rPr>
        <w:t>– S</w:t>
      </w:r>
      <w:r w:rsidRPr="00125C06">
        <w:rPr>
          <w:i w:val="0"/>
        </w:rPr>
        <w:t>tärkung der Krisenvorsorge zur Gewährleistung der Versorgungssicherheit</w:t>
      </w:r>
      <w:r>
        <w:rPr>
          <w:i w:val="0"/>
        </w:rPr>
        <w:t xml:space="preserve"> – des BMWK, abrufbar unter </w:t>
      </w:r>
      <w:hyperlink r:id="rId13" w:history="1">
        <w:r w:rsidRPr="00A63189">
          <w:t>https://www.bmwk.de/Redaktion/DE/Downloads/V/Vorsorgeplan_Staerkung_der_Krisenvorsorge_der_Gewaehrleistung_der_Versorgungssicherheit.html</w:t>
        </w:r>
      </w:hyperlink>
      <w:r>
        <w:rPr>
          <w:i w:val="0"/>
        </w:rPr>
        <w:t xml:space="preserve">. </w:t>
      </w:r>
    </w:p>
    <w:p w14:paraId="1415AA5F" w14:textId="77777777" w:rsidR="00A63189" w:rsidRPr="00A63189" w:rsidRDefault="00A63189" w:rsidP="00A63189">
      <w:pPr>
        <w:pStyle w:val="Frage-Nummerierung1"/>
        <w:numPr>
          <w:ilvl w:val="0"/>
          <w:numId w:val="0"/>
        </w:numPr>
        <w:rPr>
          <w:i w:val="0"/>
        </w:rPr>
      </w:pPr>
      <w:r w:rsidRPr="00831782">
        <w:rPr>
          <w:i w:val="0"/>
        </w:rPr>
        <w:t>Pläne für die Verteilung von Wasserstoff sind nicht bekannt. Die Unternehmen versorgen sich hier eigenständig.</w:t>
      </w:r>
    </w:p>
    <w:sectPr w:rsidR="00A63189" w:rsidRPr="00A63189" w:rsidSect="00643A4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2526" w14:textId="77777777" w:rsidR="00835E65" w:rsidRDefault="00835E65">
      <w:r>
        <w:separator/>
      </w:r>
    </w:p>
  </w:endnote>
  <w:endnote w:type="continuationSeparator" w:id="0">
    <w:p w14:paraId="0D0D6FAC" w14:textId="77777777" w:rsidR="00835E65" w:rsidRDefault="008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02AB" w14:textId="56DB602B" w:rsidR="00AD44F9" w:rsidRPr="000E3266" w:rsidRDefault="000E3266">
    <w:pPr>
      <w:pStyle w:val="Fuzeile"/>
      <w:rPr>
        <w:rFonts w:cs="Arial"/>
        <w:sz w:val="20"/>
      </w:rPr>
    </w:pPr>
    <w:r>
      <w:rPr>
        <w:rFonts w:cs="Arial"/>
        <w:sz w:val="20"/>
      </w:rPr>
      <w:t>22-08398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9574" w14:textId="3D1043EA" w:rsidR="00AD44F9" w:rsidRPr="000E3266" w:rsidRDefault="000E3266">
    <w:pPr>
      <w:pStyle w:val="Fuzeile"/>
      <w:rPr>
        <w:rFonts w:cs="Arial"/>
        <w:sz w:val="20"/>
      </w:rPr>
    </w:pPr>
    <w:r>
      <w:rPr>
        <w:rFonts w:cs="Arial"/>
        <w:sz w:val="20"/>
      </w:rPr>
      <w:t>22-08398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942C" w14:textId="2B060087" w:rsidR="00AD44F9" w:rsidRPr="000E3266" w:rsidRDefault="000E3266">
    <w:pPr>
      <w:pStyle w:val="Fuzeile"/>
      <w:rPr>
        <w:rFonts w:cs="Arial"/>
        <w:sz w:val="20"/>
      </w:rPr>
    </w:pPr>
    <w:r>
      <w:rPr>
        <w:rFonts w:cs="Arial"/>
        <w:sz w:val="20"/>
      </w:rPr>
      <w:t>22-08398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5A22" w14:textId="77777777" w:rsidR="00835E65" w:rsidRDefault="00835E65">
      <w:r>
        <w:separator/>
      </w:r>
    </w:p>
  </w:footnote>
  <w:footnote w:type="continuationSeparator" w:id="0">
    <w:p w14:paraId="1269990A" w14:textId="77777777" w:rsidR="00835E65" w:rsidRDefault="0083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19B8" w14:textId="77777777"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6947459"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F1BD" w14:textId="77777777"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3050D">
      <w:rPr>
        <w:rStyle w:val="Seitenzahl"/>
        <w:noProof/>
      </w:rPr>
      <w:t>4</w:t>
    </w:r>
    <w:r>
      <w:rPr>
        <w:rStyle w:val="Seitenzahl"/>
      </w:rPr>
      <w:fldChar w:fldCharType="end"/>
    </w:r>
  </w:p>
  <w:p w14:paraId="6891B7EC"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6281" w14:textId="77777777" w:rsidR="00AD44F9" w:rsidRDefault="00AD44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C63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76AF9"/>
    <w:multiLevelType w:val="hybridMultilevel"/>
    <w:tmpl w:val="5BC2B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1E57BC6"/>
    <w:multiLevelType w:val="hybridMultilevel"/>
    <w:tmpl w:val="FAEAA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C845057"/>
    <w:multiLevelType w:val="hybridMultilevel"/>
    <w:tmpl w:val="D618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3"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C465714"/>
    <w:multiLevelType w:val="hybridMultilevel"/>
    <w:tmpl w:val="B45CB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642871"/>
    <w:multiLevelType w:val="hybridMultilevel"/>
    <w:tmpl w:val="74F07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C5327CA"/>
    <w:multiLevelType w:val="hybridMultilevel"/>
    <w:tmpl w:val="46583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0071EF"/>
    <w:multiLevelType w:val="multilevel"/>
    <w:tmpl w:val="82461A7E"/>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7"/>
  </w:num>
  <w:num w:numId="4">
    <w:abstractNumId w:val="19"/>
  </w:num>
  <w:num w:numId="5">
    <w:abstractNumId w:val="1"/>
  </w:num>
  <w:num w:numId="6">
    <w:abstractNumId w:val="13"/>
  </w:num>
  <w:num w:numId="7">
    <w:abstractNumId w:val="10"/>
  </w:num>
  <w:num w:numId="8">
    <w:abstractNumId w:val="2"/>
  </w:num>
  <w:num w:numId="9">
    <w:abstractNumId w:val="6"/>
  </w:num>
  <w:num w:numId="10">
    <w:abstractNumId w:val="16"/>
  </w:num>
  <w:num w:numId="11">
    <w:abstractNumId w:val="9"/>
  </w:num>
  <w:num w:numId="12">
    <w:abstractNumId w:val="3"/>
  </w:num>
  <w:num w:numId="13">
    <w:abstractNumId w:val="21"/>
  </w:num>
  <w:num w:numId="14">
    <w:abstractNumId w:val="4"/>
  </w:num>
  <w:num w:numId="15">
    <w:abstractNumId w:val="18"/>
    <w:lvlOverride w:ilvl="0">
      <w:lvl w:ilvl="0">
        <w:start w:val="1"/>
        <w:numFmt w:val="decimal"/>
        <w:pStyle w:val="Frage-Nummerierung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6">
    <w:abstractNumId w:val="18"/>
  </w:num>
  <w:num w:numId="17">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8">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9">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0">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1">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2">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3">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4">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5">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6">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7">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8">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9">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30">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31">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32">
    <w:abstractNumId w:val="18"/>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33">
    <w:abstractNumId w:val="0"/>
  </w:num>
  <w:num w:numId="34">
    <w:abstractNumId w:val="18"/>
    <w:lvlOverride w:ilvl="0">
      <w:startOverride w:val="1"/>
      <w:lvl w:ilvl="0">
        <w:start w:val="1"/>
        <w:numFmt w:val="decimal"/>
        <w:pStyle w:val="Frage-Nummerierung1"/>
        <w:lvlText w:val="Frage %1:"/>
        <w:lvlJc w:val="left"/>
        <w:pPr>
          <w:ind w:left="1588" w:hanging="1588"/>
        </w:pPr>
        <w:rPr>
          <w:rFonts w:ascii="Calibri" w:hAnsi="Calibri" w:hint="default"/>
          <w:b/>
          <w:i/>
        </w:rPr>
      </w:lvl>
    </w:lvlOverride>
    <w:lvlOverride w:ilvl="1">
      <w:startOverride w:val="1"/>
      <w:lvl w:ilvl="1">
        <w:start w:val="1"/>
        <w:numFmt w:val="none"/>
        <w:lvlText w:val=""/>
        <w:lvlJc w:val="left"/>
        <w:pPr>
          <w:tabs>
            <w:tab w:val="num" w:pos="2041"/>
          </w:tabs>
          <w:ind w:left="1588" w:hanging="1588"/>
        </w:pPr>
        <w:rPr>
          <w:rFonts w:hint="default"/>
        </w:rPr>
      </w:lvl>
    </w:lvlOverride>
    <w:lvlOverride w:ilvl="2">
      <w:startOverride w:val="1"/>
      <w:lvl w:ilvl="2">
        <w:start w:val="1"/>
        <w:numFmt w:val="none"/>
        <w:lvlText w:val=""/>
        <w:lvlJc w:val="left"/>
        <w:pPr>
          <w:ind w:left="1588" w:hanging="1588"/>
        </w:pPr>
        <w:rPr>
          <w:rFonts w:hint="default"/>
        </w:rPr>
      </w:lvl>
    </w:lvlOverride>
    <w:lvlOverride w:ilvl="3">
      <w:startOverride w:val="1"/>
      <w:lvl w:ilvl="3">
        <w:start w:val="1"/>
        <w:numFmt w:val="none"/>
        <w:lvlText w:val=""/>
        <w:lvlJc w:val="left"/>
        <w:pPr>
          <w:ind w:left="1588" w:hanging="1588"/>
        </w:pPr>
        <w:rPr>
          <w:rFonts w:hint="default"/>
        </w:rPr>
      </w:lvl>
    </w:lvlOverride>
    <w:lvlOverride w:ilvl="4">
      <w:startOverride w:val="1"/>
      <w:lvl w:ilvl="4">
        <w:start w:val="1"/>
        <w:numFmt w:val="none"/>
        <w:lvlText w:val=""/>
        <w:lvlJc w:val="left"/>
        <w:pPr>
          <w:ind w:left="1588" w:hanging="1588"/>
        </w:pPr>
        <w:rPr>
          <w:rFonts w:hint="default"/>
        </w:rPr>
      </w:lvl>
    </w:lvlOverride>
    <w:lvlOverride w:ilvl="5">
      <w:startOverride w:val="1"/>
      <w:lvl w:ilvl="5">
        <w:start w:val="1"/>
        <w:numFmt w:val="none"/>
        <w:lvlText w:val=""/>
        <w:lvlJc w:val="left"/>
        <w:pPr>
          <w:ind w:left="1588" w:hanging="1588"/>
        </w:pPr>
        <w:rPr>
          <w:rFonts w:hint="default"/>
        </w:rPr>
      </w:lvl>
    </w:lvlOverride>
    <w:lvlOverride w:ilvl="6">
      <w:startOverride w:val="1"/>
      <w:lvl w:ilvl="6">
        <w:start w:val="1"/>
        <w:numFmt w:val="none"/>
        <w:lvlText w:val=""/>
        <w:lvlJc w:val="left"/>
        <w:pPr>
          <w:ind w:left="1588" w:hanging="1588"/>
        </w:pPr>
        <w:rPr>
          <w:rFonts w:hint="default"/>
        </w:rPr>
      </w:lvl>
    </w:lvlOverride>
    <w:lvlOverride w:ilvl="7">
      <w:startOverride w:val="1"/>
      <w:lvl w:ilvl="7">
        <w:start w:val="1"/>
        <w:numFmt w:val="none"/>
        <w:lvlText w:val=""/>
        <w:lvlJc w:val="left"/>
        <w:pPr>
          <w:ind w:left="1588" w:hanging="1588"/>
        </w:pPr>
        <w:rPr>
          <w:rFonts w:hint="default"/>
        </w:rPr>
      </w:lvl>
    </w:lvlOverride>
    <w:lvlOverride w:ilvl="8">
      <w:startOverride w:val="1"/>
      <w:lvl w:ilvl="8">
        <w:start w:val="1"/>
        <w:numFmt w:val="none"/>
        <w:lvlText w:val=""/>
        <w:lvlJc w:val="left"/>
        <w:pPr>
          <w:ind w:left="1588" w:hanging="1588"/>
        </w:pPr>
        <w:rPr>
          <w:rFonts w:hint="default"/>
        </w:rPr>
      </w:lvl>
    </w:lvlOverride>
  </w:num>
  <w:num w:numId="35">
    <w:abstractNumId w:val="18"/>
    <w:lvlOverride w:ilvl="0">
      <w:lvl w:ilvl="0">
        <w:start w:val="1"/>
        <w:numFmt w:val="decimal"/>
        <w:pStyle w:val="Frage-Nummerierung1"/>
        <w:lvlText w:val="Frage %1:"/>
        <w:lvlJc w:val="left"/>
        <w:pPr>
          <w:ind w:left="1588" w:hanging="1588"/>
        </w:pPr>
        <w:rPr>
          <w:rFonts w:ascii="Calibri" w:hAnsi="Calibr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6">
    <w:abstractNumId w:val="5"/>
  </w:num>
  <w:num w:numId="37">
    <w:abstractNumId w:val="14"/>
  </w:num>
  <w:num w:numId="38">
    <w:abstractNumId w:val="11"/>
  </w:num>
  <w:num w:numId="39">
    <w:abstractNumId w:val="18"/>
    <w:lvlOverride w:ilvl="0">
      <w:lvl w:ilvl="0">
        <w:start w:val="1"/>
        <w:numFmt w:val="decimal"/>
        <w:pStyle w:val="Frage-Nummerierung1"/>
        <w:lvlText w:val="Frage %1:"/>
        <w:lvlJc w:val="left"/>
        <w:pPr>
          <w:ind w:left="1588" w:hanging="1588"/>
        </w:pPr>
        <w:rPr>
          <w:rFonts w:ascii="Calibri" w:hAnsi="Calibr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0">
    <w:abstractNumId w:val="8"/>
  </w:num>
  <w:num w:numId="41">
    <w:abstractNumId w:val="1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7A"/>
    <w:rsid w:val="00000BA4"/>
    <w:rsid w:val="00006B01"/>
    <w:rsid w:val="00007EAA"/>
    <w:rsid w:val="000153C0"/>
    <w:rsid w:val="00042C45"/>
    <w:rsid w:val="00052B45"/>
    <w:rsid w:val="00063BAB"/>
    <w:rsid w:val="000674B4"/>
    <w:rsid w:val="0007709A"/>
    <w:rsid w:val="00092C03"/>
    <w:rsid w:val="000A1FFC"/>
    <w:rsid w:val="000A2056"/>
    <w:rsid w:val="000B46F8"/>
    <w:rsid w:val="000C3A4A"/>
    <w:rsid w:val="000D6698"/>
    <w:rsid w:val="000E1DD9"/>
    <w:rsid w:val="000E3266"/>
    <w:rsid w:val="000E5856"/>
    <w:rsid w:val="000F4B34"/>
    <w:rsid w:val="00102922"/>
    <w:rsid w:val="001140FF"/>
    <w:rsid w:val="00132576"/>
    <w:rsid w:val="0014555A"/>
    <w:rsid w:val="00157343"/>
    <w:rsid w:val="00167437"/>
    <w:rsid w:val="0018345B"/>
    <w:rsid w:val="001939A2"/>
    <w:rsid w:val="001A79A7"/>
    <w:rsid w:val="001C3265"/>
    <w:rsid w:val="001C4CA7"/>
    <w:rsid w:val="001D592B"/>
    <w:rsid w:val="001E6C76"/>
    <w:rsid w:val="001E7334"/>
    <w:rsid w:val="00204E84"/>
    <w:rsid w:val="002158EE"/>
    <w:rsid w:val="00217D86"/>
    <w:rsid w:val="00224F9D"/>
    <w:rsid w:val="002448EA"/>
    <w:rsid w:val="00250D0E"/>
    <w:rsid w:val="00256A80"/>
    <w:rsid w:val="002638A5"/>
    <w:rsid w:val="00282058"/>
    <w:rsid w:val="0028669D"/>
    <w:rsid w:val="00286B3E"/>
    <w:rsid w:val="00290512"/>
    <w:rsid w:val="002A38BD"/>
    <w:rsid w:val="002B5F4E"/>
    <w:rsid w:val="002B7DA9"/>
    <w:rsid w:val="002D2ED6"/>
    <w:rsid w:val="002E4182"/>
    <w:rsid w:val="00327148"/>
    <w:rsid w:val="00331604"/>
    <w:rsid w:val="00346C8D"/>
    <w:rsid w:val="0035759C"/>
    <w:rsid w:val="003620F6"/>
    <w:rsid w:val="0036553B"/>
    <w:rsid w:val="00376E14"/>
    <w:rsid w:val="003A7CF3"/>
    <w:rsid w:val="003B194F"/>
    <w:rsid w:val="003B6051"/>
    <w:rsid w:val="003D22DC"/>
    <w:rsid w:val="003D5029"/>
    <w:rsid w:val="003E2E94"/>
    <w:rsid w:val="003E643A"/>
    <w:rsid w:val="003F4D15"/>
    <w:rsid w:val="00403255"/>
    <w:rsid w:val="00416643"/>
    <w:rsid w:val="00434CA6"/>
    <w:rsid w:val="00440907"/>
    <w:rsid w:val="00440E25"/>
    <w:rsid w:val="00441997"/>
    <w:rsid w:val="0049211A"/>
    <w:rsid w:val="004952B7"/>
    <w:rsid w:val="00497078"/>
    <w:rsid w:val="004A1A07"/>
    <w:rsid w:val="004A40F4"/>
    <w:rsid w:val="004D6179"/>
    <w:rsid w:val="004D6ECF"/>
    <w:rsid w:val="004E1956"/>
    <w:rsid w:val="004E4D95"/>
    <w:rsid w:val="005015DA"/>
    <w:rsid w:val="00517DC6"/>
    <w:rsid w:val="00520509"/>
    <w:rsid w:val="0053116B"/>
    <w:rsid w:val="00532474"/>
    <w:rsid w:val="00545E01"/>
    <w:rsid w:val="005507C7"/>
    <w:rsid w:val="005600C0"/>
    <w:rsid w:val="00563B32"/>
    <w:rsid w:val="00564EF0"/>
    <w:rsid w:val="00576314"/>
    <w:rsid w:val="00593BF6"/>
    <w:rsid w:val="005B15FB"/>
    <w:rsid w:val="005C0F17"/>
    <w:rsid w:val="005D1542"/>
    <w:rsid w:val="005E007B"/>
    <w:rsid w:val="005F4080"/>
    <w:rsid w:val="00605711"/>
    <w:rsid w:val="00611767"/>
    <w:rsid w:val="00617EA5"/>
    <w:rsid w:val="00625469"/>
    <w:rsid w:val="0063137A"/>
    <w:rsid w:val="00636D80"/>
    <w:rsid w:val="00640BDE"/>
    <w:rsid w:val="00643A4E"/>
    <w:rsid w:val="006579BB"/>
    <w:rsid w:val="00660E47"/>
    <w:rsid w:val="00676229"/>
    <w:rsid w:val="00682416"/>
    <w:rsid w:val="00694FB5"/>
    <w:rsid w:val="006A193C"/>
    <w:rsid w:val="006B1093"/>
    <w:rsid w:val="006C10E8"/>
    <w:rsid w:val="006D2509"/>
    <w:rsid w:val="006D42A5"/>
    <w:rsid w:val="006E64D1"/>
    <w:rsid w:val="006F6A31"/>
    <w:rsid w:val="0070145B"/>
    <w:rsid w:val="00704510"/>
    <w:rsid w:val="0071095E"/>
    <w:rsid w:val="00720D58"/>
    <w:rsid w:val="00754457"/>
    <w:rsid w:val="00754484"/>
    <w:rsid w:val="00757F32"/>
    <w:rsid w:val="00766B96"/>
    <w:rsid w:val="007C3747"/>
    <w:rsid w:val="007C5532"/>
    <w:rsid w:val="007D2A7C"/>
    <w:rsid w:val="007D3722"/>
    <w:rsid w:val="007D62BD"/>
    <w:rsid w:val="007E296D"/>
    <w:rsid w:val="0080798A"/>
    <w:rsid w:val="00807C7F"/>
    <w:rsid w:val="008126C3"/>
    <w:rsid w:val="00821F1C"/>
    <w:rsid w:val="0083050D"/>
    <w:rsid w:val="0083284F"/>
    <w:rsid w:val="008357C8"/>
    <w:rsid w:val="00835E65"/>
    <w:rsid w:val="00845747"/>
    <w:rsid w:val="00862256"/>
    <w:rsid w:val="00863565"/>
    <w:rsid w:val="00871C76"/>
    <w:rsid w:val="00875FBF"/>
    <w:rsid w:val="008905B0"/>
    <w:rsid w:val="008C4307"/>
    <w:rsid w:val="008D49CD"/>
    <w:rsid w:val="008E7BD5"/>
    <w:rsid w:val="008F0A31"/>
    <w:rsid w:val="008F1105"/>
    <w:rsid w:val="00903AF2"/>
    <w:rsid w:val="00924706"/>
    <w:rsid w:val="009309EA"/>
    <w:rsid w:val="00933754"/>
    <w:rsid w:val="00935D76"/>
    <w:rsid w:val="00941B38"/>
    <w:rsid w:val="00942458"/>
    <w:rsid w:val="009578B1"/>
    <w:rsid w:val="0098448E"/>
    <w:rsid w:val="009872A0"/>
    <w:rsid w:val="009A2289"/>
    <w:rsid w:val="009A3CF8"/>
    <w:rsid w:val="009B1CD8"/>
    <w:rsid w:val="009C1759"/>
    <w:rsid w:val="009D2883"/>
    <w:rsid w:val="009D663C"/>
    <w:rsid w:val="009E102C"/>
    <w:rsid w:val="009E56B6"/>
    <w:rsid w:val="009F26F7"/>
    <w:rsid w:val="009F45AA"/>
    <w:rsid w:val="009F5FE2"/>
    <w:rsid w:val="009F7190"/>
    <w:rsid w:val="00A07D60"/>
    <w:rsid w:val="00A11DB2"/>
    <w:rsid w:val="00A22201"/>
    <w:rsid w:val="00A23295"/>
    <w:rsid w:val="00A3718E"/>
    <w:rsid w:val="00A409AD"/>
    <w:rsid w:val="00A42EA1"/>
    <w:rsid w:val="00A43DFF"/>
    <w:rsid w:val="00A46600"/>
    <w:rsid w:val="00A52677"/>
    <w:rsid w:val="00A61D79"/>
    <w:rsid w:val="00A62F34"/>
    <w:rsid w:val="00A63189"/>
    <w:rsid w:val="00A63B98"/>
    <w:rsid w:val="00A73232"/>
    <w:rsid w:val="00A73265"/>
    <w:rsid w:val="00A74FD1"/>
    <w:rsid w:val="00A77854"/>
    <w:rsid w:val="00A840EF"/>
    <w:rsid w:val="00A857B5"/>
    <w:rsid w:val="00AA61D3"/>
    <w:rsid w:val="00AC3CBA"/>
    <w:rsid w:val="00AD44F9"/>
    <w:rsid w:val="00AE40D9"/>
    <w:rsid w:val="00AE7B4F"/>
    <w:rsid w:val="00AF0E82"/>
    <w:rsid w:val="00B05572"/>
    <w:rsid w:val="00B07D96"/>
    <w:rsid w:val="00B17620"/>
    <w:rsid w:val="00B21133"/>
    <w:rsid w:val="00B42CF5"/>
    <w:rsid w:val="00B43C37"/>
    <w:rsid w:val="00B47BA1"/>
    <w:rsid w:val="00B51251"/>
    <w:rsid w:val="00B6557E"/>
    <w:rsid w:val="00B7374B"/>
    <w:rsid w:val="00B74866"/>
    <w:rsid w:val="00B86453"/>
    <w:rsid w:val="00BB0EDE"/>
    <w:rsid w:val="00BB226F"/>
    <w:rsid w:val="00BB314C"/>
    <w:rsid w:val="00BD78F2"/>
    <w:rsid w:val="00BE1437"/>
    <w:rsid w:val="00BE1DE1"/>
    <w:rsid w:val="00C04688"/>
    <w:rsid w:val="00C152AE"/>
    <w:rsid w:val="00C25D66"/>
    <w:rsid w:val="00C35094"/>
    <w:rsid w:val="00C40CBB"/>
    <w:rsid w:val="00C72828"/>
    <w:rsid w:val="00C72D46"/>
    <w:rsid w:val="00C73AD1"/>
    <w:rsid w:val="00C803D8"/>
    <w:rsid w:val="00C8501D"/>
    <w:rsid w:val="00C851F7"/>
    <w:rsid w:val="00C915E3"/>
    <w:rsid w:val="00C97BD8"/>
    <w:rsid w:val="00CC3B7D"/>
    <w:rsid w:val="00CC4512"/>
    <w:rsid w:val="00CD0D4A"/>
    <w:rsid w:val="00CD5B34"/>
    <w:rsid w:val="00CE29EE"/>
    <w:rsid w:val="00CE3C97"/>
    <w:rsid w:val="00CF1AAA"/>
    <w:rsid w:val="00CF40F8"/>
    <w:rsid w:val="00D031F8"/>
    <w:rsid w:val="00D03E78"/>
    <w:rsid w:val="00D06453"/>
    <w:rsid w:val="00D0758B"/>
    <w:rsid w:val="00D2275A"/>
    <w:rsid w:val="00D22C81"/>
    <w:rsid w:val="00D26D45"/>
    <w:rsid w:val="00D27084"/>
    <w:rsid w:val="00D36944"/>
    <w:rsid w:val="00D41DBE"/>
    <w:rsid w:val="00D465EE"/>
    <w:rsid w:val="00D47774"/>
    <w:rsid w:val="00D60472"/>
    <w:rsid w:val="00D63163"/>
    <w:rsid w:val="00D631A9"/>
    <w:rsid w:val="00D67A5B"/>
    <w:rsid w:val="00D67DA0"/>
    <w:rsid w:val="00D77CBA"/>
    <w:rsid w:val="00D860DE"/>
    <w:rsid w:val="00D8663C"/>
    <w:rsid w:val="00D87209"/>
    <w:rsid w:val="00D92A21"/>
    <w:rsid w:val="00D93123"/>
    <w:rsid w:val="00DA1E8C"/>
    <w:rsid w:val="00DC7ADA"/>
    <w:rsid w:val="00DD5F2B"/>
    <w:rsid w:val="00DD7536"/>
    <w:rsid w:val="00DE0298"/>
    <w:rsid w:val="00DF7BE4"/>
    <w:rsid w:val="00E36CC8"/>
    <w:rsid w:val="00E401CB"/>
    <w:rsid w:val="00E50226"/>
    <w:rsid w:val="00E50B3E"/>
    <w:rsid w:val="00E533E8"/>
    <w:rsid w:val="00E74BC9"/>
    <w:rsid w:val="00E767EB"/>
    <w:rsid w:val="00E81221"/>
    <w:rsid w:val="00E8362A"/>
    <w:rsid w:val="00E964D1"/>
    <w:rsid w:val="00EB176B"/>
    <w:rsid w:val="00EB4F53"/>
    <w:rsid w:val="00EB60A4"/>
    <w:rsid w:val="00EE75EF"/>
    <w:rsid w:val="00EF2C83"/>
    <w:rsid w:val="00EF39A8"/>
    <w:rsid w:val="00F1165C"/>
    <w:rsid w:val="00F23BC8"/>
    <w:rsid w:val="00F2437C"/>
    <w:rsid w:val="00F2671A"/>
    <w:rsid w:val="00F43500"/>
    <w:rsid w:val="00F50710"/>
    <w:rsid w:val="00FE4B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C4B2D"/>
  <w15:chartTrackingRefBased/>
  <w15:docId w15:val="{E1ACEB02-D047-4B66-A668-26542EE7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5"/>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16"/>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character" w:styleId="Platzhaltertext">
    <w:name w:val="Placeholder Text"/>
    <w:basedOn w:val="Absatz-Standardschriftart"/>
    <w:uiPriority w:val="99"/>
    <w:semiHidden/>
    <w:rsid w:val="006D2509"/>
    <w:rPr>
      <w:color w:val="808080"/>
    </w:rPr>
  </w:style>
  <w:style w:type="paragraph" w:customStyle="1" w:styleId="FrageNummer1">
    <w:name w:val="Frage Nummer 1)"/>
    <w:basedOn w:val="Standard"/>
    <w:uiPriority w:val="4"/>
    <w:qFormat/>
    <w:rsid w:val="006D2509"/>
    <w:pPr>
      <w:spacing w:before="240" w:line="240" w:lineRule="auto"/>
      <w:ind w:left="1588" w:hanging="1588"/>
      <w:jc w:val="both"/>
      <w:outlineLvl w:val="2"/>
    </w:pPr>
    <w:rPr>
      <w:rFonts w:asciiTheme="minorHAnsi" w:eastAsiaTheme="minorHAnsi" w:hAnsiTheme="minorHAnsi" w:cstheme="minorBidi"/>
      <w:i/>
      <w:sz w:val="20"/>
      <w:lang w:eastAsia="en-US"/>
    </w:rPr>
  </w:style>
  <w:style w:type="table" w:styleId="Tabellenraster">
    <w:name w:val="Table Grid"/>
    <w:basedOn w:val="NormaleTabelle"/>
    <w:uiPriority w:val="39"/>
    <w:rsid w:val="00875FB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A63189"/>
    <w:rPr>
      <w:color w:val="0563C1" w:themeColor="hyperlink"/>
      <w:u w:val="none"/>
    </w:rPr>
  </w:style>
  <w:style w:type="character" w:styleId="Kommentarzeichen">
    <w:name w:val="annotation reference"/>
    <w:basedOn w:val="Absatz-Standardschriftart"/>
    <w:uiPriority w:val="99"/>
    <w:semiHidden/>
    <w:unhideWhenUsed/>
    <w:rsid w:val="00D03E78"/>
    <w:rPr>
      <w:sz w:val="16"/>
      <w:szCs w:val="16"/>
    </w:rPr>
  </w:style>
  <w:style w:type="paragraph" w:styleId="Kommentartext">
    <w:name w:val="annotation text"/>
    <w:basedOn w:val="Standard"/>
    <w:link w:val="KommentartextZchn"/>
    <w:uiPriority w:val="99"/>
    <w:semiHidden/>
    <w:unhideWhenUsed/>
    <w:rsid w:val="00D03E78"/>
    <w:pPr>
      <w:spacing w:line="240" w:lineRule="auto"/>
    </w:pPr>
    <w:rPr>
      <w:sz w:val="20"/>
    </w:rPr>
  </w:style>
  <w:style w:type="character" w:customStyle="1" w:styleId="KommentartextZchn">
    <w:name w:val="Kommentartext Zchn"/>
    <w:basedOn w:val="Absatz-Standardschriftart"/>
    <w:link w:val="Kommentartext"/>
    <w:uiPriority w:val="99"/>
    <w:semiHidden/>
    <w:rsid w:val="00D03E78"/>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D03E78"/>
    <w:rPr>
      <w:b/>
      <w:bCs/>
    </w:rPr>
  </w:style>
  <w:style w:type="character" w:customStyle="1" w:styleId="KommentarthemaZchn">
    <w:name w:val="Kommentarthema Zchn"/>
    <w:basedOn w:val="KommentartextZchn"/>
    <w:link w:val="Kommentarthema"/>
    <w:uiPriority w:val="99"/>
    <w:semiHidden/>
    <w:rsid w:val="00D03E78"/>
    <w:rPr>
      <w:rFonts w:ascii="Arial" w:hAnsi="Arial"/>
      <w:b/>
      <w:bCs/>
      <w:lang w:eastAsia="de-DE"/>
    </w:rPr>
  </w:style>
  <w:style w:type="table" w:customStyle="1" w:styleId="Gitternetztabelle41">
    <w:name w:val="Gitternetztabelle 41"/>
    <w:basedOn w:val="NormaleTabelle"/>
    <w:next w:val="Gitternetztabelle4"/>
    <w:uiPriority w:val="49"/>
    <w:rsid w:val="00CF40F8"/>
    <w:rPr>
      <w:rFonts w:ascii="Arial" w:eastAsia="Arial" w:hAnsi="Arial"/>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netztabelle4">
    <w:name w:val="Grid Table 4"/>
    <w:basedOn w:val="NormaleTabelle"/>
    <w:uiPriority w:val="49"/>
    <w:rsid w:val="00CF40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1C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nord.de/zahlen-fakten/umwelt-energie/energie" TargetMode="External"/><Relationship Id="rId13" Type="http://schemas.openxmlformats.org/officeDocument/2006/relationships/hyperlink" Target="https://www.bmwk.de/Redaktion/DE/Downloads/V/Vorsorgeplan_Staerkung_der_Krisenvorsorge_der_Gewaehrleistung_der_Versorgungssicherheit.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DE/TXT/PDF/?uri=CELEX:32017R2196&amp;fro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i.bund.de/DE/themen/bevoelkerungsschutz/zivil-und-katastrophenschutz/konzeption-zivile-verteidigung/konzeption-zivile-verteidigung-no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mwk.de/Redaktion/DE/Downloads/P-R/risikovorsorgeplan-strom-bundesrepublik-deutschland.pdf?__blob=publicationFile&amp;v=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undesnetzagentur.de/DE/Fachthemen/ElektrizitaetundGas/Versorgungssicherheit/aktuelle_gasversorgung/HintergrundFAQ/start.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01A6-D38C-4617-BE9C-1D87DE53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2</Pages>
  <Words>1384</Words>
  <Characters>10248</Characters>
  <Application>Microsoft Office Word</Application>
  <DocSecurity>0</DocSecurity>
  <Lines>256</Lines>
  <Paragraphs>153</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Korn, Annette</cp:lastModifiedBy>
  <cp:revision>2</cp:revision>
  <cp:lastPrinted>2011-05-25T12:29:00Z</cp:lastPrinted>
  <dcterms:created xsi:type="dcterms:W3CDTF">2022-05-27T10:44:00Z</dcterms:created>
  <dcterms:modified xsi:type="dcterms:W3CDTF">2022-05-27T10:44:00Z</dcterms:modified>
</cp:coreProperties>
</file>